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rPr/>
      </w:pPr>
    </w:p>
    <w:tbl>
      <w:tblPr>
        <w:tblStyle w:val="Style_1"/>
        <w:tblW w:type="auto" w:w="0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709"/>
        <w:gridCol w:w="131"/>
        <w:gridCol w:w="280"/>
        <w:gridCol w:w="865"/>
        <w:gridCol w:w="255"/>
        <w:gridCol w:w="140"/>
        <w:gridCol w:w="140"/>
        <w:gridCol w:w="315"/>
        <w:gridCol w:w="245"/>
        <w:gridCol w:w="280"/>
        <w:gridCol w:w="140"/>
        <w:gridCol w:w="186"/>
        <w:gridCol w:w="1214"/>
        <w:gridCol w:w="140"/>
        <w:gridCol w:w="420"/>
        <w:gridCol w:w="210"/>
        <w:gridCol w:w="142"/>
        <w:gridCol w:w="908"/>
        <w:gridCol w:w="84"/>
        <w:gridCol w:w="709"/>
        <w:gridCol w:w="142"/>
        <w:gridCol w:w="465"/>
        <w:gridCol w:w="560"/>
        <w:gridCol w:w="140"/>
        <w:gridCol w:w="961"/>
      </w:tblGrid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2000000">
            <w:pPr>
              <w:widowControl w:val="0"/>
              <w:ind/>
              <w:jc w:val="center"/>
              <w:outlineLvl w:val="0"/>
            </w:pPr>
            <w:r>
              <w:t>Сводный отчёт</w:t>
            </w:r>
            <w:r>
              <w:br/>
            </w:r>
            <w:r>
              <w:t>о результатах проведения оценки регулирующего воздействия проекта муниципального нормативного правового акта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3000000">
            <w:pPr>
              <w:widowControl w:val="0"/>
              <w:ind/>
              <w:jc w:val="both"/>
            </w:pP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4000000">
            <w:pPr>
              <w:widowControl w:val="0"/>
              <w:ind/>
              <w:jc w:val="both"/>
            </w:pPr>
            <w:r>
              <w:t>1. Общая информация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5000000">
            <w:pPr>
              <w:widowControl w:val="0"/>
              <w:ind/>
              <w:jc w:val="both"/>
            </w:pPr>
            <w:r>
              <w:t>1.1. Регулирующий орган: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06000000">
            <w:pPr>
              <w:widowControl w:val="0"/>
              <w:ind w:firstLine="743"/>
              <w:jc w:val="both"/>
            </w:pPr>
            <w:r>
              <w:t xml:space="preserve">Управление </w:t>
            </w:r>
            <w:r>
              <w:t>имущественных отношений</w:t>
            </w:r>
            <w:r>
              <w:t xml:space="preserve"> администрации муниципального образования Северский муниципальный район</w:t>
            </w:r>
            <w:r>
              <w:t xml:space="preserve"> Краснодарского края</w:t>
            </w:r>
            <w:r>
              <w:t xml:space="preserve"> </w:t>
            </w:r>
            <w:r>
              <w:t>(</w:t>
            </w:r>
            <w:r>
              <w:t xml:space="preserve">далее - </w:t>
            </w:r>
            <w:r>
              <w:t>Управление имущественных отношений</w:t>
            </w:r>
            <w:r>
              <w:t>)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7000000">
            <w:pPr>
              <w:widowControl w:val="0"/>
              <w:ind/>
              <w:jc w:val="center"/>
            </w:pPr>
            <w:r>
              <w:rPr>
                <w:sz w:val="24"/>
              </w:rPr>
              <w:t>(полное и краткое наименования)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8000000">
            <w:pPr>
              <w:widowControl w:val="0"/>
              <w:ind/>
              <w:jc w:val="both"/>
            </w:pPr>
          </w:p>
          <w:p w14:paraId="09000000">
            <w:pPr>
              <w:widowControl w:val="0"/>
              <w:ind/>
              <w:jc w:val="both"/>
            </w:pPr>
            <w:r>
              <w:t>1.2. Вид и наименование проекта муниципально</w:t>
            </w:r>
            <w:r>
              <w:t>го нормативного правового акта: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0A000000">
            <w:pPr>
              <w:widowControl w:val="0"/>
              <w:ind w:firstLine="743"/>
              <w:jc w:val="both"/>
            </w:pPr>
            <w:r>
              <w:t>П</w:t>
            </w:r>
            <w:r>
              <w:t>роект постановления</w:t>
            </w:r>
            <w:r>
              <w:t xml:space="preserve"> администрации муниципального образования </w:t>
            </w:r>
            <w:r>
              <w:t>Северский</w:t>
            </w:r>
            <w:r>
              <w:t xml:space="preserve"> муниципальный район Краснодарского края «</w:t>
            </w:r>
            <w:r>
              <w:t xml:space="preserve">Об утверждении административного регламента по предоставлению муниципальной услуги </w:t>
            </w:r>
            <w:r>
              <w:t>«Предоставление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торгах»</w:t>
            </w:r>
            <w:r>
              <w:t xml:space="preserve"> </w:t>
            </w:r>
            <w:r>
              <w:t xml:space="preserve">(далее </w:t>
            </w:r>
            <w:r>
              <w:t>– МНПА).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B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C000000">
            <w:pPr>
              <w:widowControl w:val="0"/>
              <w:ind/>
              <w:jc w:val="both"/>
            </w:pPr>
          </w:p>
          <w:p w14:paraId="0D000000">
            <w:pPr>
              <w:widowControl w:val="0"/>
              <w:ind/>
              <w:jc w:val="both"/>
            </w:pPr>
            <w:r>
              <w:t>1.3. Предполагаемая дата вступления в силу муниципального нормативного</w:t>
            </w:r>
          </w:p>
        </w:tc>
      </w:tr>
      <w:tr>
        <w:tc>
          <w:tcPr>
            <w:tcW w:type="dxa" w:w="2240"/>
            <w:gridSpan w:val="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E000000">
            <w:pPr>
              <w:widowControl w:val="0"/>
              <w:ind/>
              <w:jc w:val="both"/>
            </w:pPr>
            <w:r>
              <w:t>правового акта:</w:t>
            </w:r>
          </w:p>
        </w:tc>
        <w:tc>
          <w:tcPr>
            <w:tcW w:type="dxa" w:w="7541"/>
            <w:gridSpan w:val="20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0F000000">
            <w:pPr>
              <w:widowControl w:val="0"/>
              <w:ind/>
              <w:jc w:val="both"/>
            </w:pPr>
            <w:r>
              <w:t>4</w:t>
            </w:r>
            <w:r>
              <w:t xml:space="preserve"> квартал 2026 года</w:t>
            </w:r>
          </w:p>
        </w:tc>
      </w:tr>
      <w:tr>
        <w:tc>
          <w:tcPr>
            <w:tcW w:type="dxa" w:w="2240"/>
            <w:gridSpan w:val="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0000000">
            <w:pPr>
              <w:widowControl w:val="0"/>
              <w:ind/>
              <w:jc w:val="both"/>
            </w:pPr>
          </w:p>
        </w:tc>
        <w:tc>
          <w:tcPr>
            <w:tcW w:type="dxa" w:w="7541"/>
            <w:gridSpan w:val="2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1000000">
            <w:pPr>
              <w:widowControl w:val="0"/>
              <w:ind/>
              <w:jc w:val="center"/>
            </w:pPr>
            <w:r>
              <w:rPr>
                <w:sz w:val="24"/>
              </w:rPr>
              <w:t>(указывается дата)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2000000">
            <w:pPr>
              <w:widowControl w:val="0"/>
              <w:ind/>
              <w:jc w:val="both"/>
            </w:pPr>
          </w:p>
          <w:p w14:paraId="13000000">
            <w:pPr>
              <w:widowControl w:val="0"/>
              <w:ind/>
              <w:jc w:val="both"/>
            </w:pPr>
            <w:r>
              <w:t xml:space="preserve">1.4. Краткое описание проблемы, на решение которой направлено предлагаемое правовое </w:t>
            </w:r>
            <w:r>
              <w:t>регулирование: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14000000">
            <w:pPr>
              <w:widowControl w:val="0"/>
              <w:ind w:firstLine="743"/>
              <w:jc w:val="both"/>
            </w:pP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z w:val="28"/>
              </w:rPr>
              <w:t>Нецелесообразность (неудобство)</w:t>
            </w:r>
            <w:r>
              <w:rPr>
                <w:rFonts w:ascii="Times New Roman" w:hAnsi="Times New Roman"/>
                <w:sz w:val="28"/>
              </w:rPr>
              <w:t xml:space="preserve"> использования действующего административного регламента предоставления администрацией муниципального образования Северский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район </w:t>
            </w:r>
            <w:r>
              <w:rPr>
                <w:rFonts w:ascii="Times New Roman" w:hAnsi="Times New Roman"/>
                <w:sz w:val="28"/>
              </w:rPr>
              <w:t xml:space="preserve">Краснодарского края </w:t>
            </w:r>
            <w:r>
              <w:rPr>
                <w:rFonts w:ascii="Times New Roman" w:hAnsi="Times New Roman"/>
                <w:sz w:val="28"/>
              </w:rPr>
              <w:t xml:space="preserve">муниципальной услуги </w:t>
            </w:r>
            <w:r>
              <w:rPr>
                <w:rFonts w:ascii="Times New Roman" w:hAnsi="Times New Roman"/>
                <w:sz w:val="28"/>
              </w:rPr>
              <w:t>«Предоставление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торгах»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в связи с несоответствием его структуры и отдельных положений требованиям федерального законодательства, а именно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Постановлению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услуг,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Федерации».</w:t>
            </w:r>
          </w:p>
          <w:p w14:paraId="15000000">
            <w:pPr>
              <w:widowControl w:val="0"/>
              <w:ind w:firstLine="743"/>
              <w:jc w:val="both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П</w:t>
            </w:r>
            <w:r>
              <w:rPr>
                <w:rFonts w:ascii="Times New Roman" w:hAnsi="Times New Roman"/>
                <w:sz w:val="28"/>
              </w:rPr>
              <w:t>остановлением администрации муниципального образования Северский муниципальный район Краснодарского края от 04.09.2026 г. № 1498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«</w:t>
            </w:r>
            <w:r>
              <w:t>О внесении изменений в постановление администрации муниципального образования Северский район от 28 ноября 2024 года №2388 «Об утверждении Порядка разработки и утверждения административных регламентов предоставления муниципальных услуг муниципального образования Северский район</w:t>
            </w:r>
            <w:r>
              <w:rPr>
                <w:rFonts w:ascii="Times New Roman" w:hAnsi="Times New Roman"/>
                <w:sz w:val="28"/>
              </w:rPr>
              <w:t>»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</w:rPr>
              <w:t>(далее – Постановление администрации № 1498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) </w:t>
            </w:r>
            <w:r>
              <w:rPr>
                <w:rFonts w:ascii="Times New Roman" w:hAnsi="Times New Roman"/>
                <w:color w:val="000000"/>
                <w:sz w:val="28"/>
              </w:rPr>
              <w:t>с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4 сентября 2026 г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п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редусмотрена новая форма административного регламента предоставления муниципальной услуги.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6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7000000">
            <w:pPr>
              <w:widowControl w:val="0"/>
              <w:ind/>
              <w:jc w:val="both"/>
            </w:pPr>
          </w:p>
          <w:p w14:paraId="18000000">
            <w:pPr>
              <w:widowControl w:val="0"/>
              <w:ind/>
              <w:jc w:val="both"/>
            </w:pPr>
            <w:r>
              <w:t>1.5. Краткое описание целей предлагаемого правового регулирования: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19000000">
            <w:pPr>
              <w:widowControl w:val="0"/>
              <w:ind w:firstLine="743"/>
              <w:jc w:val="both"/>
            </w:pPr>
            <w:r>
              <w:rPr>
                <w:rFonts w:ascii="Times New Roman" w:hAnsi="Times New Roman"/>
                <w:sz w:val="28"/>
              </w:rPr>
              <w:t>Ц</w:t>
            </w:r>
            <w:r>
              <w:rPr>
                <w:rFonts w:ascii="Times New Roman" w:hAnsi="Times New Roman"/>
                <w:sz w:val="28"/>
              </w:rPr>
              <w:t xml:space="preserve">ель предлагаемого правового регулирования </w:t>
            </w:r>
            <w:r>
              <w:rPr>
                <w:rFonts w:ascii="Times New Roman" w:hAnsi="Times New Roman"/>
                <w:sz w:val="28"/>
              </w:rPr>
              <w:t>–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предоставление администрацией </w:t>
            </w:r>
            <w:r>
              <w:rPr>
                <w:rFonts w:ascii="Times New Roman" w:hAnsi="Times New Roman"/>
                <w:sz w:val="28"/>
              </w:rPr>
              <w:t>муниципального образования Северский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муниципальный </w:t>
            </w:r>
            <w:r>
              <w:rPr>
                <w:rFonts w:ascii="Times New Roman" w:hAnsi="Times New Roman"/>
                <w:sz w:val="28"/>
              </w:rPr>
              <w:t>район</w:t>
            </w:r>
            <w:r>
              <w:rPr>
                <w:rFonts w:ascii="Times New Roman" w:hAnsi="Times New Roman"/>
                <w:sz w:val="28"/>
              </w:rPr>
              <w:t xml:space="preserve"> Краснодарского края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муниципальной услуги </w:t>
            </w:r>
            <w:r>
              <w:rPr>
                <w:rFonts w:ascii="Times New Roman" w:hAnsi="Times New Roman"/>
                <w:sz w:val="28"/>
              </w:rPr>
              <w:t xml:space="preserve">«Предоставление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торгах» </w:t>
            </w: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соответствии с административным регламентом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, структура и отдельные положения которого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соответствуют требованиям федерального законодательства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и п</w:t>
            </w:r>
            <w:r>
              <w:rPr>
                <w:rFonts w:ascii="Times New Roman" w:hAnsi="Times New Roman"/>
                <w:color w:val="000000"/>
                <w:sz w:val="28"/>
              </w:rPr>
              <w:t>остановлению администрации № 1498</w:t>
            </w:r>
            <w:r>
              <w:t>.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A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B000000">
            <w:pPr>
              <w:widowControl w:val="0"/>
              <w:ind/>
              <w:jc w:val="both"/>
            </w:pPr>
            <w:bookmarkStart w:id="1" w:name="sub_116"/>
            <w:r>
              <w:t>1.6. Краткое описание содержания предлагаемого правового регулирования:</w:t>
            </w:r>
            <w:bookmarkEnd w:id="1"/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1C000000">
            <w:pPr>
              <w:widowControl w:val="0"/>
              <w:ind w:firstLine="743"/>
              <w:jc w:val="both"/>
            </w:pPr>
            <w:r>
              <w:rPr>
                <w:rFonts w:ascii="Times New Roman" w:hAnsi="Times New Roman"/>
                <w:sz w:val="28"/>
              </w:rPr>
              <w:t xml:space="preserve">В целях решения указанной проблемы рассматриваемым проектом постановления предлагается привести </w:t>
            </w:r>
            <w:r>
              <w:rPr>
                <w:rFonts w:ascii="Times New Roman" w:hAnsi="Times New Roman"/>
                <w:sz w:val="28"/>
              </w:rPr>
              <w:t>административн</w:t>
            </w:r>
            <w:r>
              <w:rPr>
                <w:rFonts w:ascii="Times New Roman" w:hAnsi="Times New Roman"/>
                <w:sz w:val="28"/>
              </w:rPr>
              <w:t xml:space="preserve">ый </w:t>
            </w:r>
            <w:r>
              <w:rPr>
                <w:rFonts w:ascii="Times New Roman" w:hAnsi="Times New Roman"/>
                <w:sz w:val="28"/>
              </w:rPr>
              <w:t xml:space="preserve">регламент в соответствие </w:t>
            </w:r>
            <w:r>
              <w:rPr>
                <w:rFonts w:ascii="Times New Roman" w:hAnsi="Times New Roman"/>
                <w:sz w:val="28"/>
              </w:rPr>
              <w:t xml:space="preserve">с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требованиями федерального законодательства,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именно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Постановлением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Федерации».</w:t>
            </w:r>
          </w:p>
          <w:p w14:paraId="1D000000">
            <w:pPr>
              <w:widowControl w:val="1"/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Административный регламент устанавливает порядок</w:t>
            </w:r>
            <w:r>
              <w:rPr>
                <w:rFonts w:ascii="Times New Roman" w:hAnsi="Times New Roman"/>
                <w:sz w:val="28"/>
              </w:rPr>
              <w:t xml:space="preserve"> и стандарт предоставления </w:t>
            </w:r>
            <w:r>
              <w:rPr>
                <w:rFonts w:ascii="Times New Roman" w:hAnsi="Times New Roman"/>
                <w:sz w:val="28"/>
              </w:rPr>
              <w:t>муниципальной у</w:t>
            </w:r>
            <w:r>
              <w:rPr>
                <w:rFonts w:ascii="Times New Roman" w:hAnsi="Times New Roman"/>
                <w:sz w:val="28"/>
              </w:rPr>
              <w:t>слуги «Предоставление земельного участка, нахо</w:t>
            </w:r>
            <w:r>
              <w:rPr>
                <w:rFonts w:ascii="Times New Roman" w:hAnsi="Times New Roman"/>
                <w:sz w:val="28"/>
              </w:rPr>
              <w:t xml:space="preserve">дящегося в муниципальной собственности, или государственная собственность на </w:t>
            </w:r>
            <w:r>
              <w:rPr>
                <w:rFonts w:ascii="Times New Roman" w:hAnsi="Times New Roman"/>
                <w:sz w:val="28"/>
              </w:rPr>
              <w:t>который не разграничена, на торгах».</w:t>
            </w:r>
          </w:p>
          <w:p w14:paraId="1E000000">
            <w:pPr>
              <w:widowControl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Муниципальная услуга предоставляется </w:t>
            </w:r>
            <w:r>
              <w:rPr>
                <w:rFonts w:ascii="Times New Roman" w:hAnsi="Times New Roman"/>
                <w:sz w:val="28"/>
              </w:rPr>
              <w:t>администрацией муниципального образования Северский</w:t>
            </w:r>
            <w:r>
              <w:rPr>
                <w:rFonts w:ascii="Times New Roman" w:hAnsi="Times New Roman"/>
                <w:sz w:val="28"/>
              </w:rPr>
              <w:t xml:space="preserve"> муниципальный район Краснодарского края</w:t>
            </w:r>
            <w:r>
              <w:rPr>
                <w:rFonts w:ascii="Times New Roman" w:hAnsi="Times New Roman"/>
                <w:sz w:val="28"/>
              </w:rPr>
              <w:t xml:space="preserve"> через отраслевой (функциональный) орган</w:t>
            </w:r>
            <w:r>
              <w:rPr>
                <w:rFonts w:ascii="Times New Roman" w:hAnsi="Times New Roman"/>
                <w:sz w:val="28"/>
              </w:rPr>
              <w:t xml:space="preserve"> – управление</w:t>
            </w:r>
            <w:r>
              <w:rPr>
                <w:rFonts w:ascii="Times New Roman" w:hAnsi="Times New Roman"/>
                <w:sz w:val="28"/>
              </w:rPr>
              <w:t xml:space="preserve"> имущественных отношений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администрации муниципального образования Северский муниципальный район Краснодарского края</w:t>
            </w:r>
            <w:r>
              <w:rPr>
                <w:rFonts w:ascii="Times New Roman" w:hAnsi="Times New Roman"/>
                <w:sz w:val="28"/>
              </w:rPr>
              <w:t>.</w:t>
            </w:r>
          </w:p>
          <w:p w14:paraId="1F000000">
            <w:pPr>
              <w:widowControl w:val="1"/>
              <w:tabs>
                <w:tab w:leader="none" w:pos="142" w:val="left"/>
              </w:tabs>
              <w:spacing w:after="0" w:line="240" w:lineRule="auto"/>
              <w:ind w:left="709"/>
              <w:contextualSpacing w:val="1"/>
              <w:jc w:val="both"/>
              <w:outlineLvl w:val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Услуга включает в себя 3 подуслуги (цели обращения):</w:t>
            </w:r>
          </w:p>
          <w:p w14:paraId="20000000">
            <w:pPr>
              <w:widowControl w:val="1"/>
              <w:numPr>
                <w:ilvl w:val="0"/>
                <w:numId w:val="1"/>
              </w:numPr>
              <w:tabs>
                <w:tab w:leader="none" w:pos="142" w:val="left"/>
                <w:tab w:leader="none" w:pos="993" w:val="left"/>
              </w:tabs>
              <w:spacing w:after="0" w:line="240" w:lineRule="auto"/>
              <w:ind w:firstLine="709" w:left="0"/>
              <w:jc w:val="both"/>
              <w:outlineLvl w:val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утверждение схемы расположения земельного участка для организации аукциона;</w:t>
            </w:r>
          </w:p>
          <w:p w14:paraId="21000000">
            <w:pPr>
              <w:widowControl w:val="1"/>
              <w:numPr>
                <w:ilvl w:val="0"/>
                <w:numId w:val="1"/>
              </w:numPr>
              <w:tabs>
                <w:tab w:leader="none" w:pos="142" w:val="left"/>
                <w:tab w:leader="none" w:pos="993" w:val="left"/>
              </w:tabs>
              <w:spacing w:after="0" w:line="240" w:lineRule="auto"/>
              <w:ind w:firstLine="709" w:left="0"/>
              <w:jc w:val="both"/>
              <w:outlineLvl w:val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внесение изменений в утвержденную схему расположения земельного участка для организации аукциона;</w:t>
            </w:r>
          </w:p>
          <w:p w14:paraId="22000000">
            <w:pPr>
              <w:widowControl w:val="1"/>
              <w:numPr>
                <w:ilvl w:val="0"/>
                <w:numId w:val="1"/>
              </w:numPr>
              <w:tabs>
                <w:tab w:leader="none" w:pos="142" w:val="left"/>
                <w:tab w:leader="none" w:pos="993" w:val="left"/>
              </w:tabs>
              <w:spacing w:after="0" w:line="240" w:lineRule="auto"/>
              <w:ind w:firstLine="709" w:left="0"/>
              <w:jc w:val="both"/>
              <w:outlineLvl w:val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организация аукциона на право заключения договора аренды или купли-продажи земельного участка.</w:t>
            </w:r>
          </w:p>
          <w:p w14:paraId="23000000">
            <w:pPr>
              <w:widowControl w:val="0"/>
              <w:ind w:firstLine="743"/>
              <w:jc w:val="both"/>
              <w:rPr>
                <w:rFonts w:ascii="Times New Roman" w:hAnsi="Times New Roman"/>
                <w:color w:themeColor="text1" w:val="000000"/>
                <w:sz w:val="28"/>
              </w:rPr>
            </w:pP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4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(место для текстового описания)</w:t>
            </w:r>
          </w:p>
          <w:p w14:paraId="25000000">
            <w:pPr>
              <w:widowControl w:val="0"/>
              <w:ind/>
              <w:jc w:val="both"/>
            </w:pPr>
            <w:bookmarkStart w:id="2" w:name="sub_161"/>
          </w:p>
          <w:p w14:paraId="26000000">
            <w:pPr>
              <w:widowControl w:val="0"/>
              <w:ind/>
              <w:jc w:val="both"/>
            </w:pPr>
            <w:r>
              <w:t>1.6.1. Степень регулирующего</w:t>
            </w:r>
            <w:bookmarkEnd w:id="2"/>
            <w:r>
              <w:t xml:space="preserve"> воздейств</w:t>
            </w:r>
            <w:r>
              <w:t>ия: высокая.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7000000">
            <w:pPr>
              <w:widowControl w:val="0"/>
              <w:ind/>
              <w:jc w:val="both"/>
            </w:pPr>
            <w:r>
              <w:t>Обоснование степени регулирующего воздействия: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28000000">
            <w:pPr>
              <w:widowControl w:val="1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Проект муниципального нормативного правового акта содержит положения, устанавливающие новые обязанности для субъектов предпринимательской и иной экономической деятельности, для субъектов инвестиционной деятельности.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9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A000000">
            <w:pPr>
              <w:widowControl w:val="0"/>
              <w:ind/>
              <w:jc w:val="both"/>
            </w:pPr>
          </w:p>
          <w:p w14:paraId="2B000000">
            <w:pPr>
              <w:widowControl w:val="0"/>
              <w:ind/>
              <w:jc w:val="both"/>
            </w:pPr>
            <w:r>
              <w:t>1.7. Контактная информация исполнителя в регулирующем органе:</w:t>
            </w:r>
          </w:p>
        </w:tc>
      </w:tr>
      <w:tr>
        <w:tc>
          <w:tcPr>
            <w:tcW w:type="dxa" w:w="1120"/>
            <w:gridSpan w:val="3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C000000">
            <w:pPr>
              <w:widowControl w:val="0"/>
              <w:ind/>
              <w:jc w:val="both"/>
            </w:pPr>
            <w:r>
              <w:t>Ф.И.О.</w:t>
            </w:r>
          </w:p>
        </w:tc>
        <w:tc>
          <w:tcPr>
            <w:tcW w:type="dxa" w:w="8661"/>
            <w:gridSpan w:val="22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2D000000">
            <w:pPr>
              <w:widowControl w:val="0"/>
              <w:ind/>
              <w:jc w:val="both"/>
            </w:pPr>
            <w:r>
              <w:t>Радьков Сергей Николаевич</w:t>
            </w:r>
          </w:p>
        </w:tc>
      </w:tr>
      <w:tr>
        <w:tc>
          <w:tcPr>
            <w:tcW w:type="dxa" w:w="709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E000000">
            <w:pPr>
              <w:widowControl w:val="0"/>
              <w:ind/>
              <w:jc w:val="both"/>
            </w:pPr>
            <w:r>
              <w:t>Должность:</w:t>
            </w:r>
          </w:p>
        </w:tc>
        <w:tc>
          <w:tcPr>
            <w:tcW w:type="dxa" w:w="9072"/>
            <w:gridSpan w:val="24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2F000000">
            <w:pPr>
              <w:widowControl w:val="0"/>
              <w:ind/>
              <w:jc w:val="both"/>
            </w:pPr>
            <w:r>
              <w:t>Начальник</w:t>
            </w:r>
            <w:r>
              <w:t xml:space="preserve"> управления </w:t>
            </w:r>
            <w:r>
              <w:t>имущественных отношений</w:t>
            </w:r>
            <w:r>
              <w:t xml:space="preserve"> администрации муниципального образования Северский муниципальный район Краснодарского края</w:t>
            </w:r>
          </w:p>
        </w:tc>
      </w:tr>
      <w:tr>
        <w:tc>
          <w:tcPr>
            <w:tcW w:type="dxa" w:w="840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0000000">
            <w:pPr>
              <w:widowControl w:val="0"/>
              <w:ind/>
              <w:jc w:val="both"/>
            </w:pPr>
            <w:r>
              <w:t>Тел:</w:t>
            </w:r>
          </w:p>
        </w:tc>
        <w:tc>
          <w:tcPr>
            <w:tcW w:type="dxa" w:w="2520"/>
            <w:gridSpan w:val="8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31000000">
            <w:pPr>
              <w:widowControl w:val="0"/>
              <w:ind w:right="137"/>
              <w:jc w:val="both"/>
            </w:pPr>
            <w:r>
              <w:t>+7(8616</w:t>
            </w:r>
            <w:r>
              <w:t>6</w:t>
            </w:r>
            <w:r>
              <w:t>)</w:t>
            </w:r>
            <w:r>
              <w:t>2</w:t>
            </w:r>
            <w:r>
              <w:t>-</w:t>
            </w:r>
            <w:r>
              <w:t>91</w:t>
            </w:r>
            <w:r>
              <w:t>-</w:t>
            </w:r>
            <w:r>
              <w:t>1</w:t>
            </w:r>
            <w:r>
              <w:t>3</w:t>
            </w:r>
          </w:p>
        </w:tc>
        <w:tc>
          <w:tcPr>
            <w:tcW w:type="dxa" w:w="3444"/>
            <w:gridSpan w:val="9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2000000">
            <w:pPr>
              <w:widowControl w:val="0"/>
              <w:ind w:left="-67" w:right="86"/>
              <w:jc w:val="both"/>
            </w:pPr>
            <w:r>
              <w:t>Адрес</w:t>
            </w:r>
            <w:r>
              <w:t xml:space="preserve"> </w:t>
            </w:r>
            <w:r>
              <w:t>электронной почты:</w:t>
            </w:r>
          </w:p>
        </w:tc>
        <w:tc>
          <w:tcPr>
            <w:tcW w:type="dxa" w:w="2977"/>
            <w:gridSpan w:val="6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33000000">
            <w:pPr>
              <w:widowControl w:val="0"/>
              <w:ind w:firstLine="158" w:left="-158"/>
              <w:jc w:val="both"/>
            </w:pPr>
            <w:r>
              <w:rPr>
                <w:rStyle w:val="Style_2_ch"/>
              </w:rPr>
              <w:fldChar w:fldCharType="begin"/>
            </w:r>
            <w:r>
              <w:rPr>
                <w:rStyle w:val="Style_2_ch"/>
              </w:rPr>
              <w:instrText>HYPERLINK "mailto:Imushestvo@sevadm.ru"</w:instrText>
            </w:r>
            <w:r>
              <w:rPr>
                <w:rStyle w:val="Style_2_ch"/>
              </w:rPr>
              <w:fldChar w:fldCharType="separate"/>
            </w:r>
            <w:r>
              <w:rPr>
                <w:rStyle w:val="Style_2_ch"/>
              </w:rPr>
              <w:t>Imushestvo@sevadm.ru</w:t>
            </w:r>
            <w:r>
              <w:rPr>
                <w:rStyle w:val="Style_2_ch"/>
              </w:rPr>
              <w:fldChar w:fldCharType="end"/>
            </w:r>
            <w:r>
              <w:t xml:space="preserve"> 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4000000">
            <w:pPr>
              <w:widowControl w:val="0"/>
              <w:ind/>
              <w:jc w:val="both"/>
            </w:pPr>
          </w:p>
          <w:p w14:paraId="35000000">
            <w:pPr>
              <w:widowControl w:val="0"/>
              <w:ind/>
              <w:jc w:val="both"/>
            </w:pPr>
            <w:r>
              <w:t>2. Описание проблемы, на решение которой направлено предл</w:t>
            </w:r>
            <w:r>
              <w:t xml:space="preserve">агаемое </w:t>
            </w:r>
            <w:r>
              <w:t>правовое регулирование:</w:t>
            </w:r>
          </w:p>
          <w:tbl>
            <w:tblPr>
              <w:tblStyle w:val="Style_1"/>
              <w:tblW w:type="auto" w:w="0"/>
              <w:tblInd w:type="dxa" w:w="108"/>
              <w:tblBorders>
                <w:top w:color="000000" w:sz="4" w:val="single"/>
                <w:left w:color="000000" w:sz="4" w:val="single"/>
                <w:bottom w:color="000000" w:sz="4" w:val="single"/>
                <w:right w:color="000000" w:sz="4" w:val="single"/>
              </w:tblBorders>
              <w:tblLayout w:type="fixed"/>
            </w:tblPr>
            <w:tblGrid>
              <w:gridCol w:w="699"/>
              <w:gridCol w:w="129"/>
              <w:gridCol w:w="276"/>
              <w:gridCol w:w="852"/>
              <w:gridCol w:w="251"/>
              <w:gridCol w:w="138"/>
              <w:gridCol w:w="138"/>
              <w:gridCol w:w="310"/>
              <w:gridCol w:w="241"/>
              <w:gridCol w:w="276"/>
              <w:gridCol w:w="138"/>
              <w:gridCol w:w="183"/>
              <w:gridCol w:w="1196"/>
              <w:gridCol w:w="138"/>
              <w:gridCol w:w="414"/>
              <w:gridCol w:w="207"/>
              <w:gridCol w:w="140"/>
              <w:gridCol w:w="895"/>
              <w:gridCol w:w="83"/>
              <w:gridCol w:w="699"/>
              <w:gridCol w:w="140"/>
              <w:gridCol w:w="458"/>
              <w:gridCol w:w="552"/>
              <w:gridCol w:w="138"/>
              <w:gridCol w:w="947"/>
            </w:tblGrid>
            <w:tr>
              <w:tc>
                <w:tcPr>
                  <w:tcW w:type="dxa" w:w="9638"/>
                  <w:gridSpan w:val="25"/>
                  <w:tcBorders>
                    <w:top w:sz="4" w:val="nil"/>
                    <w:left w:sz="4" w:val="nil"/>
                    <w:bottom w:color="000000" w:sz="4" w:val="single"/>
                    <w:right w:sz="4" w:val="nil"/>
                  </w:tcBorders>
                </w:tcPr>
                <w:p w14:paraId="36000000">
                  <w:pPr>
                    <w:widowControl w:val="0"/>
                    <w:ind w:firstLine="743"/>
                    <w:jc w:val="both"/>
                  </w:pPr>
                  <w:r>
                    <w:rPr>
                      <w:rFonts w:ascii="Times New Roman" w:hAnsi="Times New Roman"/>
                      <w:sz w:val="28"/>
                    </w:rPr>
                    <w:tab/>
                  </w:r>
                  <w:r>
                    <w:rPr>
                      <w:rFonts w:ascii="Times New Roman" w:hAnsi="Times New Roman"/>
                      <w:sz w:val="28"/>
                    </w:rPr>
                    <w:t>Нецелесообразность (неудобство)</w:t>
                  </w:r>
                  <w:r>
                    <w:rPr>
                      <w:rFonts w:ascii="Times New Roman" w:hAnsi="Times New Roman"/>
                      <w:sz w:val="28"/>
                    </w:rPr>
                    <w:t xml:space="preserve"> использования действующего административного регламента предоставления администрацией муниципального образования Северский </w:t>
                  </w:r>
                  <w:r>
                    <w:rPr>
                      <w:rFonts w:ascii="Times New Roman" w:hAnsi="Times New Roman"/>
                      <w:sz w:val="28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8"/>
                    </w:rPr>
                    <w:t xml:space="preserve">район </w:t>
                  </w:r>
                  <w:r>
                    <w:rPr>
                      <w:rFonts w:ascii="Times New Roman" w:hAnsi="Times New Roman"/>
                      <w:sz w:val="28"/>
                    </w:rPr>
                    <w:t xml:space="preserve">Краснодарского края </w:t>
                  </w:r>
                  <w:r>
                    <w:rPr>
                      <w:rFonts w:ascii="Times New Roman" w:hAnsi="Times New Roman"/>
                      <w:sz w:val="28"/>
                    </w:rPr>
                    <w:t xml:space="preserve">муниципальной услуги </w:t>
                  </w:r>
                  <w:r>
                    <w:rPr>
                      <w:rFonts w:ascii="Times New Roman" w:hAnsi="Times New Roman"/>
                      <w:sz w:val="28"/>
                    </w:rPr>
                    <w:t>«Предоставление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торгах»</w:t>
                  </w:r>
                  <w:r>
                    <w:rPr>
                      <w:rFonts w:ascii="Times New Roman" w:hAnsi="Times New Roman"/>
                      <w:color w:themeColor="text1" w:val="000000"/>
                      <w:sz w:val="28"/>
                    </w:rPr>
                    <w:t>,</w:t>
                  </w:r>
                  <w:r>
                    <w:rPr>
                      <w:rFonts w:ascii="Times New Roman" w:hAnsi="Times New Roman"/>
                      <w:sz w:val="28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themeColor="text1" w:val="000000"/>
                      <w:sz w:val="28"/>
                    </w:rPr>
                    <w:t xml:space="preserve">в связи с несоответствием его структуры и отдельных положений требованиям федерального законодательства, а именно </w:t>
                  </w:r>
                  <w:r>
                    <w:rPr>
                      <w:rFonts w:ascii="Times New Roman" w:hAnsi="Times New Roman"/>
                      <w:color w:themeColor="text1" w:val="000000"/>
                      <w:sz w:val="28"/>
                    </w:rPr>
                    <w:t>Постановлению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услуг,</w:t>
                  </w:r>
                  <w:r>
                    <w:rPr>
                      <w:rFonts w:ascii="Times New Roman" w:hAnsi="Times New Roman"/>
                      <w:color w:themeColor="text1" w:val="000000"/>
                      <w:sz w:val="28"/>
                    </w:rPr>
                    <w:t xml:space="preserve">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Федерации».</w:t>
                  </w:r>
                </w:p>
                <w:p w14:paraId="37000000">
                  <w:pPr>
                    <w:widowControl w:val="0"/>
                    <w:ind w:firstLine="743"/>
                    <w:jc w:val="both"/>
                    <w:rPr>
                      <w:rFonts w:ascii="Times New Roman" w:hAnsi="Times New Roman"/>
                      <w:color w:themeColor="text1" w:val="000000"/>
                      <w:sz w:val="28"/>
                    </w:rPr>
                  </w:pPr>
                  <w:r>
                    <w:rPr>
                      <w:rFonts w:ascii="Times New Roman" w:hAnsi="Times New Roman"/>
                      <w:color w:themeColor="text1" w:val="000000"/>
                      <w:sz w:val="28"/>
                    </w:rPr>
                    <w:t>П</w:t>
                  </w:r>
                  <w:r>
                    <w:rPr>
                      <w:rFonts w:ascii="Times New Roman" w:hAnsi="Times New Roman"/>
                      <w:sz w:val="28"/>
                    </w:rPr>
                    <w:t>остановлением администрации муниципального образования Северский муниципальный район Краснодарского края от 04.09.2026 г. № 1498</w:t>
                  </w:r>
                  <w:r>
                    <w:rPr>
                      <w:rFonts w:ascii="Times New Roman" w:hAnsi="Times New Roman"/>
                      <w:sz w:val="28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8"/>
                    </w:rPr>
                    <w:t>«</w:t>
                  </w:r>
                  <w:r>
                    <w:t>О внесении изменений в постановление администрации муниципального образования Северский район от 28 ноября 2024 года №2388 «Об утверждении Порядка разработки и утверждения административных регламентов предоставления муниципальных услуг муниципального образования Северский район</w:t>
                  </w:r>
                  <w:r>
                    <w:rPr>
                      <w:rFonts w:ascii="Times New Roman" w:hAnsi="Times New Roman"/>
                      <w:sz w:val="28"/>
                    </w:rPr>
                    <w:t>»</w:t>
                  </w:r>
                  <w:r>
                    <w:rPr>
                      <w:rFonts w:ascii="Times New Roman" w:hAnsi="Times New Roman"/>
                      <w:color w:val="000000"/>
                      <w:sz w:val="28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0"/>
                      <w:sz w:val="28"/>
                    </w:rPr>
                    <w:t>(далее – Постановление администрации № 1498</w:t>
                  </w:r>
                  <w:r>
                    <w:rPr>
                      <w:rFonts w:ascii="Times New Roman" w:hAnsi="Times New Roman"/>
                      <w:color w:val="000000"/>
                      <w:sz w:val="28"/>
                    </w:rPr>
                    <w:t xml:space="preserve">) </w:t>
                  </w:r>
                  <w:r>
                    <w:rPr>
                      <w:rFonts w:ascii="Times New Roman" w:hAnsi="Times New Roman"/>
                      <w:color w:val="000000"/>
                      <w:sz w:val="28"/>
                    </w:rPr>
                    <w:t>с</w:t>
                  </w:r>
                  <w:r>
                    <w:rPr>
                      <w:rFonts w:ascii="Times New Roman" w:hAnsi="Times New Roman"/>
                      <w:color w:themeColor="text1" w:val="000000"/>
                      <w:sz w:val="28"/>
                    </w:rPr>
                    <w:t xml:space="preserve"> 4 сентября 2026 г</w:t>
                  </w:r>
                  <w:r>
                    <w:rPr>
                      <w:rFonts w:ascii="Times New Roman" w:hAnsi="Times New Roman"/>
                      <w:color w:themeColor="text1" w:val="000000"/>
                      <w:sz w:val="28"/>
                    </w:rPr>
                    <w:t>.</w:t>
                  </w:r>
                  <w:r>
                    <w:rPr>
                      <w:rFonts w:ascii="Times New Roman" w:hAnsi="Times New Roman"/>
                      <w:color w:val="000000"/>
                      <w:sz w:val="28"/>
                    </w:rPr>
                    <w:t xml:space="preserve"> п</w:t>
                  </w:r>
                  <w:r>
                    <w:rPr>
                      <w:rFonts w:ascii="Times New Roman" w:hAnsi="Times New Roman"/>
                      <w:color w:themeColor="text1" w:val="000000"/>
                      <w:sz w:val="28"/>
                    </w:rPr>
                    <w:t>редусмотрена новая форма административного регламента предоставления муниципальной услуги.</w:t>
                  </w:r>
                </w:p>
              </w:tc>
            </w:tr>
          </w:tbl>
          <w:p w14:paraId="38000000">
            <w:pPr>
              <w:widowControl w:val="0"/>
              <w:ind/>
              <w:jc w:val="both"/>
            </w:pPr>
          </w:p>
          <w:p w14:paraId="39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A000000">
            <w:pPr>
              <w:widowControl w:val="0"/>
              <w:ind/>
              <w:jc w:val="both"/>
            </w:pPr>
          </w:p>
          <w:p w14:paraId="3B000000">
            <w:pPr>
              <w:widowControl w:val="0"/>
              <w:ind/>
              <w:jc w:val="both"/>
            </w:pPr>
          </w:p>
          <w:p w14:paraId="3C000000">
            <w:pPr>
              <w:widowControl w:val="0"/>
              <w:ind/>
              <w:jc w:val="both"/>
            </w:pPr>
            <w:r>
              <w:t>2.1. Формулировка проблемы: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3D000000">
            <w:pPr>
              <w:widowControl w:val="0"/>
              <w:ind w:firstLine="743"/>
              <w:jc w:val="both"/>
            </w:pPr>
            <w:r>
              <w:t xml:space="preserve">Нецелесообразность (неудобство) использования действующего административного регламента предоставления муниципальной услуги «Предоставление земельного участка, находящегося в муниципальной собственности, или государственная собственность на который не </w:t>
            </w:r>
            <w:r>
              <w:t>разграничена, на торгах»</w:t>
            </w:r>
            <w:r>
              <w:t>, в соответствии с требованиям</w:t>
            </w:r>
            <w:r>
              <w:t>и</w:t>
            </w:r>
            <w:r>
              <w:t xml:space="preserve"> действующего федерального законодательства, положениям нормативно-правовых актов администрации муниципального образования Северский муниципальный район Краснодарского края.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E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F000000">
            <w:pPr>
              <w:widowControl w:val="0"/>
              <w:ind/>
              <w:jc w:val="both"/>
            </w:pPr>
          </w:p>
          <w:p w14:paraId="40000000">
            <w:pPr>
              <w:widowControl w:val="0"/>
              <w:ind/>
              <w:jc w:val="both"/>
            </w:pPr>
            <w:r>
              <w:t>2.2. Информация о возникновении, выявлении проблемы и мерах, принятых ранее для её решения, достигнутых результатах и затраченных ресурсах: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41000000">
            <w:pPr>
              <w:widowControl w:val="0"/>
              <w:ind w:firstLine="743"/>
              <w:jc w:val="both"/>
            </w:pPr>
            <w:r>
              <w:t xml:space="preserve">Проблема выявлена при проведении мониторинга НПА, вступивших в силу: </w:t>
            </w:r>
          </w:p>
          <w:p w14:paraId="42000000">
            <w:pPr>
              <w:widowControl w:val="0"/>
              <w:ind w:firstLine="743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</w:rPr>
              <w:t>Постановлени</w:t>
            </w:r>
            <w:r>
              <w:rPr>
                <w:color w:themeColor="text1" w:val="000000"/>
              </w:rPr>
              <w:t>е</w:t>
            </w:r>
            <w:r>
              <w:rPr>
                <w:color w:themeColor="text1" w:val="000000"/>
              </w:rPr>
              <w:t xml:space="preserve"> Правительства Российской Федерации от 20 июля 2021 года № 1228 «Об утверждении Правил разработки и утверждения административных регламентов предос</w:t>
            </w:r>
            <w:r>
              <w:rPr>
                <w:color w:themeColor="text1" w:val="000000"/>
              </w:rPr>
              <w:t>тавления государственных услуг»</w:t>
            </w:r>
            <w:r>
              <w:rPr>
                <w:color w:themeColor="text1" w:val="000000"/>
              </w:rPr>
              <w:t xml:space="preserve"> - </w:t>
            </w:r>
            <w:r>
              <w:rPr>
                <w:color w:themeColor="text1" w:val="000000"/>
              </w:rPr>
              <w:t>изменились требования к оптимизации (повышения качества) предоставления муниципальных услуг, в том числе  возможность предоставления государственной услуги в уп</w:t>
            </w:r>
            <w:r>
              <w:rPr>
                <w:color w:themeColor="text1" w:val="000000"/>
              </w:rPr>
              <w:t>реждающем (проактивном) режиме, уточнены подразделы, формы запрос</w:t>
            </w:r>
            <w:r>
              <w:rPr>
                <w:color w:themeColor="text1" w:val="000000"/>
              </w:rPr>
              <w:t>ов</w:t>
            </w:r>
            <w:r>
              <w:rPr>
                <w:color w:themeColor="text1" w:val="000000"/>
              </w:rPr>
              <w:t xml:space="preserve"> о предоставлении государственной услуги и документов, необходимых для предоставления государственной услуги</w:t>
            </w:r>
            <w:r>
              <w:rPr>
                <w:color w:themeColor="text1" w:val="000000"/>
              </w:rPr>
              <w:t xml:space="preserve"> (Постановление Правительства РФ от28.04.2025  №569 «О внесении изменений в некоторые акты Правительства Российской Федерации»);</w:t>
            </w:r>
          </w:p>
          <w:p w14:paraId="43000000">
            <w:pPr>
              <w:widowControl w:val="0"/>
              <w:ind w:firstLine="743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</w:rPr>
              <w:t xml:space="preserve">Постановления администрации </w:t>
            </w:r>
            <w:r>
              <w:rPr>
                <w:color w:themeColor="text1" w:val="000000"/>
              </w:rPr>
              <w:t>муниципального образования Северский</w:t>
            </w:r>
            <w:r>
              <w:rPr>
                <w:color w:themeColor="text1" w:val="000000"/>
              </w:rPr>
              <w:t xml:space="preserve"> муниципальный район Краснодарского края от </w:t>
            </w:r>
            <w:r>
              <w:rPr>
                <w:color w:themeColor="text1" w:val="000000"/>
              </w:rPr>
              <w:t>4</w:t>
            </w:r>
            <w:r>
              <w:rPr>
                <w:color w:themeColor="text1" w:val="000000"/>
              </w:rPr>
              <w:t xml:space="preserve"> </w:t>
            </w:r>
            <w:r>
              <w:rPr>
                <w:color w:themeColor="text1" w:val="000000"/>
              </w:rPr>
              <w:t>сентября</w:t>
            </w:r>
            <w:r>
              <w:rPr>
                <w:color w:themeColor="text1" w:val="000000"/>
              </w:rPr>
              <w:t xml:space="preserve"> 202</w:t>
            </w:r>
            <w:r>
              <w:rPr>
                <w:color w:themeColor="text1" w:val="000000"/>
              </w:rPr>
              <w:t>6</w:t>
            </w:r>
            <w:r>
              <w:rPr>
                <w:color w:themeColor="text1" w:val="000000"/>
              </w:rPr>
              <w:t xml:space="preserve"> года № 1</w:t>
            </w:r>
            <w:r>
              <w:rPr>
                <w:color w:themeColor="text1" w:val="000000"/>
              </w:rPr>
              <w:t>498</w:t>
            </w:r>
            <w:r>
              <w:rPr>
                <w:color w:themeColor="text1" w:val="000000"/>
              </w:rPr>
              <w:t xml:space="preserve"> «</w:t>
            </w:r>
            <w:r>
              <w:rPr>
                <w:color w:themeColor="text1" w:val="000000"/>
              </w:rPr>
              <w:t>О внесении изменений в постановление администрации муниципального образования Северский район от 28 ноября 2024 года №2388 «Об утверждении Порядка разработки и утверждения административных регламентов предоставления муниципальных услуг муниципального образования Северский район</w:t>
            </w:r>
            <w:r>
              <w:rPr>
                <w:color w:themeColor="text1" w:val="000000"/>
              </w:rPr>
              <w:t>»</w:t>
            </w:r>
            <w:r>
              <w:rPr>
                <w:color w:themeColor="text1" w:val="000000"/>
              </w:rPr>
              <w:t xml:space="preserve"> - установлены требования к структуре и содержанию административных</w:t>
            </w:r>
            <w:r>
              <w:rPr>
                <w:color w:themeColor="text1" w:val="000000"/>
              </w:rPr>
              <w:t xml:space="preserve"> регламентов, порядок согласования и утверждения административных регламентов, особенности проведения экспертизы, независимой экспертизы проведения административных регламентов.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4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5000000">
            <w:pPr>
              <w:widowControl w:val="0"/>
              <w:ind/>
              <w:jc w:val="both"/>
            </w:pPr>
          </w:p>
          <w:p w14:paraId="46000000">
            <w:pPr>
              <w:widowControl w:val="0"/>
              <w:ind/>
              <w:jc w:val="both"/>
            </w:pPr>
          </w:p>
          <w:p w14:paraId="47000000">
            <w:pPr>
              <w:widowControl w:val="0"/>
              <w:ind/>
              <w:jc w:val="both"/>
            </w:pPr>
            <w:r>
              <w:t>2.3. Субъекты общественных отношений, заинтересованные в устранении проблемы, их количественная оценка: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48000000">
            <w:pPr>
              <w:widowControl w:val="0"/>
              <w:ind w:firstLine="596"/>
              <w:jc w:val="both"/>
            </w:pPr>
            <w:r>
              <w:t xml:space="preserve">Физические и юридические лица, являющиеся правообладателями земельных участков, либо </w:t>
            </w:r>
            <w:r>
              <w:t>иные лица в установленных проектом административного регламента случаях</w:t>
            </w:r>
            <w:r>
              <w:t>.</w:t>
            </w:r>
          </w:p>
          <w:p w14:paraId="49000000">
            <w:pPr>
              <w:pStyle w:val="Style_3"/>
              <w:widowControl w:val="1"/>
              <w:ind w:firstLine="596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Количественная оц</w:t>
            </w:r>
            <w:r>
              <w:rPr>
                <w:rFonts w:ascii="Times New Roman" w:hAnsi="Times New Roman"/>
                <w:sz w:val="28"/>
              </w:rPr>
              <w:t>енка участников не ограничена, о</w:t>
            </w:r>
            <w:r>
              <w:rPr>
                <w:rFonts w:ascii="Times New Roman" w:hAnsi="Times New Roman"/>
                <w:sz w:val="28"/>
              </w:rPr>
              <w:t xml:space="preserve">пределить точное количество не представляется возможным. </w:t>
            </w:r>
            <w:r>
              <w:rPr>
                <w:rFonts w:ascii="Times New Roman" w:hAnsi="Times New Roman"/>
                <w:sz w:val="28"/>
              </w:rPr>
              <w:t>Определить точное количество не представляется возможным</w:t>
            </w:r>
            <w:r>
              <w:rPr>
                <w:rFonts w:ascii="Times New Roman" w:hAnsi="Times New Roman"/>
                <w:sz w:val="28"/>
              </w:rPr>
              <w:t xml:space="preserve"> в связи с заявительным характером предлагаемого правового регулирования.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Вместе с тем, 2025 г.  за предоставлением муниципальной услуги обратились 218 заявителей.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A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B000000">
            <w:pPr>
              <w:widowControl w:val="0"/>
              <w:ind/>
              <w:jc w:val="both"/>
            </w:pPr>
          </w:p>
          <w:p w14:paraId="4C000000">
            <w:pPr>
              <w:widowControl w:val="0"/>
              <w:ind/>
              <w:jc w:val="both"/>
            </w:pPr>
            <w:r>
              <w:t>2.4. Характеристика негативных эффектов, возникающих в связи с наличием проблемы, их количественная оценка: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4D000000">
            <w:pPr>
              <w:widowControl w:val="0"/>
              <w:ind w:firstLine="596"/>
              <w:jc w:val="both"/>
            </w:pPr>
            <w:r>
              <w:t>Наличие правово</w:t>
            </w:r>
            <w:r>
              <w:t>й неопределенности и отсутствия</w:t>
            </w:r>
            <w:r>
              <w:t xml:space="preserve"> установленного </w:t>
            </w:r>
            <w:r>
              <w:t>регламента, разработанного</w:t>
            </w:r>
            <w:r>
              <w:t xml:space="preserve"> </w:t>
            </w:r>
            <w:r>
              <w:t>в соответствии с федеральным законодательством, может привести к увеличению сроков оказания муниципальной услуги, дополнительным временным затратам заявителей при подготовке и подаче документов, а также возникновению споров между заявителями и органом местного самоуправления. Количественная оценка негативных эффектов не представляется возможной в связи с заявительным характером.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E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F000000">
            <w:pPr>
              <w:widowControl w:val="0"/>
              <w:ind/>
              <w:jc w:val="both"/>
            </w:pPr>
          </w:p>
          <w:p w14:paraId="50000000">
            <w:pPr>
              <w:widowControl w:val="0"/>
              <w:ind/>
              <w:jc w:val="both"/>
            </w:pPr>
            <w:r>
              <w:t>2.5. Причины возникновения проблемы и факторы, поддерживающие её существование: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51000000">
            <w:pPr>
              <w:widowControl w:val="0"/>
              <w:ind w:firstLine="596"/>
              <w:jc w:val="both"/>
            </w:pPr>
            <w:r>
              <w:t>И</w:t>
            </w:r>
            <w:r>
              <w:t>зменение федерального законодательства</w:t>
            </w:r>
            <w:r>
              <w:t xml:space="preserve">, </w:t>
            </w:r>
            <w:r>
              <w:t>регулирующего сферу разработки и утверждения административных регламентов предоставления муниципальных услуг, выявленное при проведении мониторинга МНПА и вступившие в силу:</w:t>
            </w:r>
          </w:p>
          <w:p w14:paraId="52000000">
            <w:pPr>
              <w:widowControl w:val="0"/>
              <w:ind w:firstLine="596"/>
              <w:jc w:val="both"/>
            </w:pPr>
            <w:r>
              <w:t>Федеральный закон от 27 июля 2010 года №210-ФЗ «Об организации предоставления государственных и муниципальных услуг» - изменились условия использования единого портала государственных и муниципальных услуг, формирования единого запроса (ст. 53 Федерального закона от 31.07.2025 №304-ФЗ «О внесении изменений в отдельные законодательные акты Российской Федерации»);</w:t>
            </w:r>
          </w:p>
          <w:p w14:paraId="53000000">
            <w:pPr>
              <w:widowControl w:val="0"/>
              <w:ind w:firstLine="596"/>
              <w:jc w:val="both"/>
            </w:pPr>
            <w:r>
              <w:t xml:space="preserve">Постановление Правительства Российской Федерации от 20 июля </w:t>
            </w:r>
            <w:r>
              <w:t xml:space="preserve">              </w:t>
            </w:r>
            <w:r>
              <w:t>2021 года №1228 «Об утверждении Правил разработки и утверждения административных регламентов предоставления государственных услуг» - изменились требования к оптимизации (повышения качества) предоставления муниципальных услуг, в том числе  возможность предоставления государственной услуги в упреждающем (проактивном) режиме, уточнены подразделы, формы запросов о предоставлении государственной услуги и документов, необходимых для предоставления государственной услуги (Постановление Правительства РФ от</w:t>
            </w:r>
            <w:r>
              <w:t xml:space="preserve"> </w:t>
            </w:r>
            <w:r>
              <w:t>28.04.2025 №569 «О внесении изменений в некоторые акты Правительства Российской Федерации»);</w:t>
            </w:r>
          </w:p>
          <w:p w14:paraId="54000000">
            <w:pPr>
              <w:widowControl w:val="0"/>
              <w:ind w:firstLine="596"/>
              <w:jc w:val="both"/>
            </w:pPr>
            <w:r>
              <w:rPr>
                <w:color w:themeColor="text1" w:val="000000"/>
              </w:rPr>
              <w:t xml:space="preserve">Постановления администрации </w:t>
            </w:r>
            <w:r>
              <w:rPr>
                <w:color w:themeColor="text1" w:val="000000"/>
              </w:rPr>
              <w:t>муниципального образования Северский</w:t>
            </w:r>
            <w:r>
              <w:rPr>
                <w:color w:themeColor="text1" w:val="000000"/>
              </w:rPr>
              <w:t xml:space="preserve"> муниципальный район Краснодарского края от </w:t>
            </w:r>
            <w:r>
              <w:rPr>
                <w:color w:themeColor="text1" w:val="000000"/>
              </w:rPr>
              <w:t>4</w:t>
            </w:r>
            <w:r>
              <w:rPr>
                <w:color w:themeColor="text1" w:val="000000"/>
              </w:rPr>
              <w:t xml:space="preserve"> </w:t>
            </w:r>
            <w:r>
              <w:rPr>
                <w:color w:themeColor="text1" w:val="000000"/>
              </w:rPr>
              <w:t>сентября</w:t>
            </w:r>
            <w:r>
              <w:rPr>
                <w:color w:themeColor="text1" w:val="000000"/>
              </w:rPr>
              <w:t xml:space="preserve"> 202</w:t>
            </w:r>
            <w:r>
              <w:rPr>
                <w:color w:themeColor="text1" w:val="000000"/>
              </w:rPr>
              <w:t>6</w:t>
            </w:r>
            <w:r>
              <w:rPr>
                <w:color w:themeColor="text1" w:val="000000"/>
              </w:rPr>
              <w:t xml:space="preserve"> года № 1</w:t>
            </w:r>
            <w:r>
              <w:rPr>
                <w:color w:themeColor="text1" w:val="000000"/>
              </w:rPr>
              <w:t>498</w:t>
            </w:r>
            <w:r>
              <w:rPr>
                <w:color w:themeColor="text1" w:val="000000"/>
              </w:rPr>
              <w:t xml:space="preserve"> «</w:t>
            </w:r>
            <w:r>
              <w:rPr>
                <w:color w:themeColor="text1" w:val="000000"/>
              </w:rPr>
              <w:t>О внесении изменений в постановление администрации муниципального образования Северский район от 28 ноября 2024 года №2388 «Об утверждении Порядка разработки и утверждения административных регламентов предоставления муниципальных услуг муниципального образования Северский район</w:t>
            </w:r>
            <w:r>
              <w:rPr>
                <w:color w:themeColor="text1" w:val="000000"/>
              </w:rPr>
              <w:t>»</w:t>
            </w:r>
            <w:r>
              <w:rPr>
                <w:color w:themeColor="text1" w:val="000000"/>
              </w:rPr>
              <w:t xml:space="preserve"> </w:t>
            </w:r>
            <w:r>
              <w:t>- установлены требования к структуре и содержанию административных регламентов, порядок согласования и утверждения административных регламентов, особенности проведения экспертизы, независимой экспертизы проведения административных регламентов.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5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6000000">
            <w:pPr>
              <w:widowControl w:val="0"/>
              <w:ind/>
              <w:jc w:val="both"/>
            </w:pPr>
          </w:p>
          <w:p w14:paraId="57000000">
            <w:pPr>
              <w:widowControl w:val="0"/>
              <w:ind/>
              <w:jc w:val="both"/>
            </w:pPr>
            <w:r>
              <w:t xml:space="preserve">2.6. 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</w:t>
            </w:r>
            <w:r>
              <w:t>Северский</w:t>
            </w:r>
            <w:r>
              <w:t xml:space="preserve"> район: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58000000">
            <w:pPr>
              <w:pStyle w:val="Style_3"/>
              <w:widowControl w:val="1"/>
              <w:ind w:firstLine="567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Полномочия по принятию нормативного правового акта предоставлены органу местного самоуправления.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9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A000000">
            <w:pPr>
              <w:widowControl w:val="0"/>
              <w:ind/>
              <w:jc w:val="both"/>
            </w:pPr>
          </w:p>
          <w:p w14:paraId="5B000000">
            <w:pPr>
              <w:widowControl w:val="0"/>
              <w:ind/>
              <w:jc w:val="both"/>
            </w:pPr>
            <w:r>
              <w:t>2.7. Опыт решения аналогичных проблем в других субъектах Российской Федерации, муниципальных образованиях Краснодарского края: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5C000000">
            <w:pPr>
              <w:widowControl w:val="1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Регулирующим органом в ходе разработки проекта был изучен опыт решения проблемы в </w:t>
            </w:r>
            <w:r>
              <w:rPr>
                <w:rFonts w:ascii="Times New Roman" w:hAnsi="Times New Roman"/>
                <w:sz w:val="28"/>
              </w:rPr>
              <w:t>других муниципальных образованиях Краснодарского края</w:t>
            </w:r>
            <w:r>
              <w:rPr>
                <w:rFonts w:ascii="Times New Roman" w:hAnsi="Times New Roman"/>
                <w:sz w:val="28"/>
              </w:rPr>
              <w:t xml:space="preserve">.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Д</w:t>
            </w:r>
            <w:r>
              <w:rPr>
                <w:rFonts w:ascii="Times New Roman" w:hAnsi="Times New Roman"/>
                <w:sz w:val="28"/>
              </w:rPr>
              <w:t>анная проблема решается аналогичным образом</w:t>
            </w:r>
            <w:r>
              <w:rPr>
                <w:rFonts w:ascii="Times New Roman" w:hAnsi="Times New Roman"/>
                <w:sz w:val="28"/>
              </w:rPr>
              <w:t>.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D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E000000">
            <w:pPr>
              <w:widowControl w:val="0"/>
              <w:ind/>
              <w:jc w:val="both"/>
            </w:pPr>
            <w:r>
              <w:t>2.8. Источники данных: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5F000000">
            <w:pPr>
              <w:widowControl w:val="0"/>
              <w:ind w:firstLine="596"/>
              <w:jc w:val="both"/>
            </w:pPr>
            <w:r>
              <w:t>И</w:t>
            </w:r>
            <w:r>
              <w:t>нформационно-правовое обеспечение «Гарант».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60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61000000">
            <w:pPr>
              <w:widowControl w:val="0"/>
              <w:ind/>
              <w:jc w:val="both"/>
            </w:pPr>
            <w:r>
              <w:t>2.9. Иная информация о проблеме: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62000000">
            <w:pPr>
              <w:widowControl w:val="0"/>
              <w:ind w:firstLine="454"/>
              <w:jc w:val="both"/>
            </w:pPr>
            <w:r>
              <w:t>отсутствует</w:t>
            </w:r>
            <w:r>
              <w:t>.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63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64000000">
            <w:pPr>
              <w:widowControl w:val="0"/>
              <w:ind/>
              <w:jc w:val="both"/>
            </w:pPr>
            <w:bookmarkStart w:id="3" w:name="sub_10003"/>
            <w:r>
              <w:t>3. Определение целей предлагаемого правового регулирования и индикаторов для оценки их достижения</w:t>
            </w:r>
            <w:bookmarkEnd w:id="3"/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65000000">
            <w:pPr>
              <w:widowControl w:val="0"/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2835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3.1. Цели предлагаемого правового регулирования</w:t>
            </w:r>
          </w:p>
        </w:tc>
        <w:tc>
          <w:tcPr>
            <w:tcW w:type="dxa" w:w="2835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00000">
            <w:pPr>
              <w:widowControl w:val="0"/>
              <w:ind/>
              <w:jc w:val="both"/>
              <w:rPr>
                <w:sz w:val="24"/>
              </w:rPr>
            </w:pPr>
            <w:bookmarkStart w:id="4" w:name="sub_100032"/>
            <w:r>
              <w:rPr>
                <w:sz w:val="24"/>
              </w:rPr>
              <w:t>3.2. Сроки достижения целей предлагаемого правового регулирования</w:t>
            </w:r>
            <w:bookmarkEnd w:id="4"/>
          </w:p>
        </w:tc>
        <w:tc>
          <w:tcPr>
            <w:tcW w:type="dxa" w:w="4111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>
        <w:tc>
          <w:tcPr>
            <w:tcW w:type="dxa" w:w="2835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9000000">
            <w:pPr>
              <w:widowControl w:val="0"/>
              <w:ind w:firstLine="743"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Предоставление администрацией </w:t>
            </w:r>
            <w:r>
              <w:rPr>
                <w:rFonts w:ascii="Times New Roman" w:hAnsi="Times New Roman"/>
                <w:sz w:val="24"/>
              </w:rPr>
              <w:t>муниципального образования Северский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муниципальный </w:t>
            </w:r>
            <w:r>
              <w:rPr>
                <w:rFonts w:ascii="Times New Roman" w:hAnsi="Times New Roman"/>
                <w:sz w:val="24"/>
              </w:rPr>
              <w:t>район</w:t>
            </w:r>
            <w:r>
              <w:rPr>
                <w:rFonts w:ascii="Times New Roman" w:hAnsi="Times New Roman"/>
                <w:sz w:val="24"/>
              </w:rPr>
              <w:t xml:space="preserve"> Краснодарского края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муниципальной услуги </w:t>
            </w:r>
            <w:r>
              <w:rPr>
                <w:rFonts w:ascii="Times New Roman" w:hAnsi="Times New Roman"/>
                <w:sz w:val="24"/>
              </w:rPr>
              <w:t xml:space="preserve">«Предоставление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торгах»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 соответствии с административным регламентом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, структура и отдельные положения которого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соответствуют требованиям федерального законодательства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 и п</w:t>
            </w:r>
            <w:r>
              <w:rPr>
                <w:rFonts w:ascii="Times New Roman" w:hAnsi="Times New Roman"/>
                <w:color w:val="000000"/>
                <w:sz w:val="24"/>
              </w:rPr>
              <w:t>остановлению администрации № 1498</w:t>
            </w:r>
            <w:r>
              <w:rPr>
                <w:sz w:val="24"/>
              </w:rPr>
              <w:t>.</w:t>
            </w:r>
          </w:p>
        </w:tc>
        <w:tc>
          <w:tcPr>
            <w:tcW w:type="dxa" w:w="2835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A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 xml:space="preserve">С даты вступления в силу </w:t>
            </w:r>
            <w:r>
              <w:rPr>
                <w:sz w:val="24"/>
              </w:rPr>
              <w:t>МНПА</w:t>
            </w:r>
          </w:p>
        </w:tc>
        <w:tc>
          <w:tcPr>
            <w:tcW w:type="dxa" w:w="4111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B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В мониторинге достижения цели не нуждается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6C000000">
            <w:pPr>
              <w:widowControl w:val="0"/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6D000000">
            <w:pPr>
              <w:widowControl w:val="0"/>
              <w:ind/>
              <w:jc w:val="both"/>
            </w:pPr>
            <w:r>
              <w:t xml:space="preserve"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 указанных целей: </w:t>
            </w:r>
          </w:p>
          <w:p w14:paraId="6E000000">
            <w:pPr>
              <w:widowControl w:val="0"/>
              <w:ind w:firstLine="596"/>
              <w:jc w:val="both"/>
            </w:pPr>
            <w:r>
              <w:t>Федеральный закон от 27 июля 2010 года №210-ФЗ «Об организации предоставления государственных и муниципальных услуг»;</w:t>
            </w:r>
          </w:p>
          <w:p w14:paraId="6F000000">
            <w:pPr>
              <w:widowControl w:val="0"/>
              <w:ind w:firstLine="596"/>
              <w:jc w:val="both"/>
            </w:pPr>
            <w:r>
              <w:t xml:space="preserve">Постановление Правительства Российской Федерации от 20 июля </w:t>
            </w:r>
            <w:r>
              <w:t xml:space="preserve">              </w:t>
            </w:r>
            <w:r>
              <w:t>2021 года №1228 «Об утверждении Правил разработки и утверждения административных регламентов предоставления государственных услуг»;</w:t>
            </w:r>
          </w:p>
          <w:p w14:paraId="70000000">
            <w:pPr>
              <w:widowControl w:val="0"/>
              <w:ind w:firstLine="454"/>
              <w:jc w:val="both"/>
            </w:pPr>
            <w:r>
              <w:rPr>
                <w:color w:themeColor="text1" w:val="000000"/>
              </w:rPr>
              <w:t xml:space="preserve">Постановления администрации </w:t>
            </w:r>
            <w:r>
              <w:rPr>
                <w:color w:themeColor="text1" w:val="000000"/>
              </w:rPr>
              <w:t>муниципального образования Северский</w:t>
            </w:r>
            <w:r>
              <w:rPr>
                <w:color w:themeColor="text1" w:val="000000"/>
              </w:rPr>
              <w:t xml:space="preserve"> муниципальный район Краснодарского края от </w:t>
            </w:r>
            <w:r>
              <w:rPr>
                <w:color w:themeColor="text1" w:val="000000"/>
              </w:rPr>
              <w:t>4</w:t>
            </w:r>
            <w:r>
              <w:rPr>
                <w:color w:themeColor="text1" w:val="000000"/>
              </w:rPr>
              <w:t xml:space="preserve"> </w:t>
            </w:r>
            <w:r>
              <w:rPr>
                <w:color w:themeColor="text1" w:val="000000"/>
              </w:rPr>
              <w:t>сентября</w:t>
            </w:r>
            <w:r>
              <w:rPr>
                <w:color w:themeColor="text1" w:val="000000"/>
              </w:rPr>
              <w:t xml:space="preserve"> 202</w:t>
            </w:r>
            <w:r>
              <w:rPr>
                <w:color w:themeColor="text1" w:val="000000"/>
              </w:rPr>
              <w:t>6</w:t>
            </w:r>
            <w:r>
              <w:rPr>
                <w:color w:themeColor="text1" w:val="000000"/>
              </w:rPr>
              <w:t xml:space="preserve"> года № 1</w:t>
            </w:r>
            <w:r>
              <w:rPr>
                <w:color w:themeColor="text1" w:val="000000"/>
              </w:rPr>
              <w:t>498</w:t>
            </w:r>
            <w:r>
              <w:rPr>
                <w:color w:themeColor="text1" w:val="000000"/>
              </w:rPr>
              <w:t xml:space="preserve"> «</w:t>
            </w:r>
            <w:r>
              <w:rPr>
                <w:color w:themeColor="text1" w:val="000000"/>
              </w:rPr>
              <w:t>О внесении изменений в постановление администрации муниципального образования Северский район от 28 ноября 2024 года №2388 «Об утверждении Порядка разработки и утверждения административных регламентов предоставления муниципальных услуг муниципального образования Северский район</w:t>
            </w:r>
            <w:r>
              <w:rPr>
                <w:color w:themeColor="text1" w:val="000000"/>
              </w:rPr>
              <w:t>»</w:t>
            </w:r>
            <w:r>
              <w:t>.</w:t>
            </w:r>
          </w:p>
        </w:tc>
      </w:tr>
      <w:tr>
        <w:tc>
          <w:tcPr>
            <w:tcW w:type="dxa" w:w="2380"/>
            <w:gridSpan w:val="6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71000000">
            <w:pPr>
              <w:widowControl w:val="0"/>
              <w:ind/>
              <w:jc w:val="both"/>
            </w:pPr>
          </w:p>
        </w:tc>
        <w:tc>
          <w:tcPr>
            <w:tcW w:type="dxa" w:w="7401"/>
            <w:gridSpan w:val="19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72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(указывается нормативный правовой акт более высокого уровня либо инициативный порядок разработки)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73000000">
            <w:pPr>
              <w:widowControl w:val="0"/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2835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3.5. Цели предлагаемого правового регулирования</w:t>
            </w:r>
          </w:p>
        </w:tc>
        <w:tc>
          <w:tcPr>
            <w:tcW w:type="dxa" w:w="2835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00000">
            <w:pPr>
              <w:widowControl w:val="0"/>
              <w:ind/>
              <w:rPr>
                <w:sz w:val="24"/>
              </w:rPr>
            </w:pPr>
            <w:bookmarkStart w:id="5" w:name="sub_100036"/>
            <w:r>
              <w:rPr>
                <w:sz w:val="24"/>
              </w:rPr>
              <w:t>3.6. Индикаторы достижения целей предлагаемого правового регулирования</w:t>
            </w:r>
            <w:bookmarkEnd w:id="5"/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3.7. Единица измерения индикаторов</w:t>
            </w:r>
          </w:p>
        </w:tc>
        <w:tc>
          <w:tcPr>
            <w:tcW w:type="dxa" w:w="212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3.8. Целевые значения индикаторов по годам</w:t>
            </w:r>
          </w:p>
        </w:tc>
      </w:tr>
      <w:tr>
        <w:tc>
          <w:tcPr>
            <w:tcW w:type="dxa" w:w="2835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8000000">
            <w:pPr>
              <w:widowControl w:val="0"/>
              <w:ind w:firstLine="743"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Предоставление администрацией </w:t>
            </w:r>
            <w:r>
              <w:rPr>
                <w:rFonts w:ascii="Times New Roman" w:hAnsi="Times New Roman"/>
                <w:sz w:val="24"/>
              </w:rPr>
              <w:t>муниципального образования Северский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муниципальный </w:t>
            </w:r>
            <w:r>
              <w:rPr>
                <w:rFonts w:ascii="Times New Roman" w:hAnsi="Times New Roman"/>
                <w:sz w:val="24"/>
              </w:rPr>
              <w:t>район</w:t>
            </w:r>
            <w:r>
              <w:rPr>
                <w:rFonts w:ascii="Times New Roman" w:hAnsi="Times New Roman"/>
                <w:sz w:val="24"/>
              </w:rPr>
              <w:t xml:space="preserve"> Краснодарского края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муниципальной услуги </w:t>
            </w:r>
            <w:r>
              <w:rPr>
                <w:rFonts w:ascii="Times New Roman" w:hAnsi="Times New Roman"/>
                <w:sz w:val="24"/>
              </w:rPr>
              <w:t xml:space="preserve">«Предоставление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торгах»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 соответствии с административным регламентом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, структура и отдельные положения которого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соответствуют требованиям федерального законодательства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 и п</w:t>
            </w:r>
            <w:r>
              <w:rPr>
                <w:rFonts w:ascii="Times New Roman" w:hAnsi="Times New Roman"/>
                <w:color w:val="000000"/>
                <w:sz w:val="24"/>
              </w:rPr>
              <w:t>остановлению администрации № 1498</w:t>
            </w:r>
            <w:r>
              <w:rPr>
                <w:sz w:val="24"/>
              </w:rPr>
              <w:t>.</w:t>
            </w:r>
          </w:p>
        </w:tc>
        <w:tc>
          <w:tcPr>
            <w:tcW w:type="dxa" w:w="2835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Количество </w:t>
            </w:r>
            <w:r>
              <w:rPr>
                <w:sz w:val="24"/>
              </w:rPr>
              <w:t>предоставленных</w:t>
            </w:r>
            <w:r>
              <w:rPr>
                <w:sz w:val="24"/>
              </w:rPr>
              <w:t xml:space="preserve"> земельных участков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%</w:t>
            </w:r>
          </w:p>
        </w:tc>
        <w:tc>
          <w:tcPr>
            <w:tcW w:type="dxa" w:w="212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100 % (без учета отказов в предоставлении муниципальной услуги)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7C000000">
            <w:pPr>
              <w:widowControl w:val="0"/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7D000000">
            <w:pPr>
              <w:widowControl w:val="0"/>
              <w:ind/>
              <w:jc w:val="both"/>
            </w:pPr>
            <w:r>
              <w:t>3.9. Методы расчёта индикаторов достижения целей предлагаемого правового</w:t>
            </w:r>
          </w:p>
          <w:p w14:paraId="7E000000">
            <w:pPr>
              <w:widowControl w:val="0"/>
              <w:ind/>
              <w:jc w:val="both"/>
            </w:pPr>
            <w:r>
              <w:t xml:space="preserve">регулирования, источники информации для расчётов:  </w:t>
            </w:r>
          </w:p>
          <w:p w14:paraId="7F000000">
            <w:pPr>
              <w:widowControl w:val="0"/>
              <w:ind w:firstLine="454"/>
              <w:jc w:val="both"/>
            </w:pPr>
            <w:r>
              <w:rPr>
                <w:rFonts w:ascii="Times New Roman" w:hAnsi="Times New Roman"/>
                <w:sz w:val="28"/>
              </w:rPr>
              <w:t>Количество выданных решений/количество поступивших заявлений.</w:t>
            </w:r>
          </w:p>
        </w:tc>
      </w:tr>
      <w:tr>
        <w:tc>
          <w:tcPr>
            <w:tcW w:type="dxa" w:w="9781"/>
            <w:gridSpan w:val="25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80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81000000">
            <w:pPr>
              <w:widowControl w:val="0"/>
              <w:ind/>
              <w:jc w:val="both"/>
            </w:pPr>
          </w:p>
          <w:p w14:paraId="82000000">
            <w:pPr>
              <w:widowControl w:val="0"/>
              <w:ind/>
              <w:jc w:val="both"/>
            </w:pPr>
            <w:r>
              <w:t xml:space="preserve">3.10. Оценка затрат на проведение мониторинга достижения целей предлагаемого правового регулирования: 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83000000">
            <w:pPr>
              <w:widowControl w:val="0"/>
              <w:ind w:firstLine="454"/>
            </w:pPr>
            <w:r>
              <w:t>Затраты не предусмотрены</w:t>
            </w:r>
            <w:r>
              <w:t>.</w:t>
            </w:r>
          </w:p>
        </w:tc>
      </w:tr>
      <w:tr>
        <w:tc>
          <w:tcPr>
            <w:tcW w:type="dxa" w:w="9781"/>
            <w:gridSpan w:val="25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84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85000000">
            <w:pPr>
              <w:widowControl w:val="0"/>
              <w:ind/>
              <w:jc w:val="both"/>
            </w:pPr>
          </w:p>
          <w:p w14:paraId="86000000">
            <w:pPr>
              <w:widowControl w:val="0"/>
              <w:ind/>
              <w:jc w:val="both"/>
            </w:pPr>
            <w:r>
              <w:t>4. Качественная характеристика и оценка численности потенциальных адресатов предлагаемого правового регулирования (их групп):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87000000">
            <w:pPr>
              <w:widowControl w:val="0"/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5460"/>
            <w:gridSpan w:val="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00000">
            <w:pPr>
              <w:widowControl w:val="0"/>
              <w:ind/>
              <w:rPr>
                <w:sz w:val="24"/>
              </w:rPr>
            </w:pPr>
            <w:bookmarkStart w:id="6" w:name="sub_100041"/>
            <w:r>
              <w:rPr>
                <w:sz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  <w:bookmarkEnd w:id="6"/>
          </w:p>
        </w:tc>
        <w:tc>
          <w:tcPr>
            <w:tcW w:type="dxa" w:w="2195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4.2. Количество участников группы</w:t>
            </w:r>
          </w:p>
        </w:tc>
        <w:tc>
          <w:tcPr>
            <w:tcW w:type="dxa" w:w="212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4.3. Источники данных</w:t>
            </w:r>
          </w:p>
        </w:tc>
      </w:tr>
      <w:tr>
        <w:tc>
          <w:tcPr>
            <w:tcW w:type="dxa" w:w="5460"/>
            <w:gridSpan w:val="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00000">
            <w:pPr>
              <w:widowControl w:val="0"/>
              <w:ind/>
              <w:rPr>
                <w:sz w:val="24"/>
                <w:highlight w:val="red"/>
              </w:rPr>
            </w:pPr>
            <w:r>
              <w:rPr>
                <w:sz w:val="24"/>
              </w:rPr>
              <w:t xml:space="preserve">Физические и юридические лица, являющиеся правообладателями земельных участков, либо </w:t>
            </w:r>
            <w:r>
              <w:rPr>
                <w:sz w:val="24"/>
              </w:rPr>
              <w:t>иные лица в установленных проектом административного регламента случаях</w:t>
            </w:r>
          </w:p>
        </w:tc>
        <w:tc>
          <w:tcPr>
            <w:tcW w:type="dxa" w:w="2195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 xml:space="preserve">Количество участников группы не </w:t>
            </w:r>
            <w:r>
              <w:rPr>
                <w:sz w:val="24"/>
              </w:rPr>
              <w:t>ограниченно</w:t>
            </w:r>
            <w:r>
              <w:rPr>
                <w:sz w:val="24"/>
              </w:rPr>
              <w:t xml:space="preserve">, т.к. услуга имеет заявительный характер. </w:t>
            </w:r>
            <w:r>
              <w:rPr>
                <w:rFonts w:ascii="Times New Roman" w:hAnsi="Times New Roman"/>
                <w:sz w:val="24"/>
              </w:rPr>
              <w:t xml:space="preserve">Вместе с тем, 2025 г.  за предоставлением муниципальной услуги обратились 218 заявителей. </w:t>
            </w:r>
          </w:p>
        </w:tc>
        <w:tc>
          <w:tcPr>
            <w:tcW w:type="dxa" w:w="212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На основании данных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 xml:space="preserve">правления </w:t>
            </w:r>
            <w:r>
              <w:rPr>
                <w:sz w:val="24"/>
              </w:rPr>
              <w:t>имущественных отношений</w:t>
            </w:r>
            <w:r>
              <w:rPr>
                <w:sz w:val="24"/>
              </w:rPr>
              <w:t>, предшествующих текущему году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8E000000">
            <w:pPr>
              <w:widowControl w:val="0"/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8F000000">
            <w:pPr>
              <w:widowControl w:val="0"/>
              <w:ind/>
              <w:jc w:val="both"/>
            </w:pPr>
            <w:r>
              <w:t xml:space="preserve">5. Изменение функций (полномочий, обязанностей, прав) органов местного самоуправления муниципального образования </w:t>
            </w:r>
            <w:r>
              <w:t>Северский</w:t>
            </w:r>
            <w:r>
              <w:t xml:space="preserve"> район, а также порядка их реализации в связи с введением предлагаемого правового регулирования:</w:t>
            </w:r>
            <w:r>
              <w:rPr>
                <w:sz w:val="24"/>
              </w:rPr>
              <w:t xml:space="preserve"> </w:t>
            </w:r>
            <w:r>
              <w:t xml:space="preserve">Предоставление муниципальной услуги осуществляется администрацией муниципального образования </w:t>
            </w:r>
            <w:r>
              <w:t>Северский</w:t>
            </w:r>
            <w:r>
              <w:t xml:space="preserve"> муниципальный район Краснодарского края </w:t>
            </w:r>
            <w:r>
              <w:t>в рамках штатной численности</w:t>
            </w:r>
            <w:r>
              <w:t xml:space="preserve"> управлени</w:t>
            </w:r>
            <w:r>
              <w:t>я</w:t>
            </w:r>
            <w:r>
              <w:t xml:space="preserve"> </w:t>
            </w:r>
            <w:r>
              <w:t>имущественных отношений</w:t>
            </w:r>
            <w:r>
              <w:t xml:space="preserve"> администрации муниципального образования </w:t>
            </w:r>
            <w:r>
              <w:t>Северский</w:t>
            </w:r>
            <w:r>
              <w:rPr>
                <w:u w:val="none"/>
              </w:rPr>
              <w:t xml:space="preserve"> </w:t>
            </w:r>
            <w:r>
              <w:rPr>
                <w:u w:val="none"/>
              </w:rPr>
              <w:t>муниципальный район Краснодарского края</w:t>
            </w:r>
            <w:r>
              <w:rPr>
                <w:u w:val="none"/>
              </w:rPr>
              <w:t>______________________________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90000000">
            <w:pPr>
              <w:widowControl w:val="0"/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1985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00000">
            <w:pPr>
              <w:widowControl w:val="0"/>
              <w:ind/>
              <w:rPr>
                <w:sz w:val="24"/>
              </w:rPr>
            </w:pPr>
            <w:bookmarkStart w:id="7" w:name="sub_100051"/>
            <w:r>
              <w:rPr>
                <w:sz w:val="24"/>
              </w:rPr>
              <w:t>5.1. Наименование функции (полномочия, обязанности или права)</w:t>
            </w:r>
            <w:bookmarkEnd w:id="7"/>
          </w:p>
        </w:tc>
        <w:tc>
          <w:tcPr>
            <w:tcW w:type="dxa" w:w="1701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5.2. Характер функции (новая / изменяемая / отменяемая)</w:t>
            </w:r>
          </w:p>
        </w:tc>
        <w:tc>
          <w:tcPr>
            <w:tcW w:type="dxa" w:w="1984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5.3. Предполагаемый порядок реализации</w:t>
            </w:r>
          </w:p>
        </w:tc>
        <w:tc>
          <w:tcPr>
            <w:tcW w:type="dxa" w:w="2450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5.4. Оценка изменения трудовых затрат (чел./час в год), изменения численности сотрудников (чел.)</w:t>
            </w:r>
          </w:p>
        </w:tc>
        <w:tc>
          <w:tcPr>
            <w:tcW w:type="dxa" w:w="1661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5.5. Оценка изменения потребностей в других ресурсах</w:t>
            </w:r>
          </w:p>
        </w:tc>
      </w:tr>
      <w:tr>
        <w:tc>
          <w:tcPr>
            <w:tcW w:type="dxa" w:w="1985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 xml:space="preserve">Предоставление земельного участка, находящегося в муниципальной собственности, или государственная </w:t>
            </w:r>
            <w:r>
              <w:rPr>
                <w:sz w:val="24"/>
              </w:rPr>
              <w:t>собственность на который не разграничена, на торгах</w:t>
            </w:r>
          </w:p>
        </w:tc>
        <w:tc>
          <w:tcPr>
            <w:tcW w:type="dxa" w:w="1701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Изменяемая</w:t>
            </w:r>
          </w:p>
        </w:tc>
        <w:tc>
          <w:tcPr>
            <w:tcW w:type="dxa" w:w="1984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М</w:t>
            </w:r>
            <w:r>
              <w:rPr>
                <w:sz w:val="24"/>
              </w:rPr>
              <w:t>униципальн</w:t>
            </w:r>
            <w:r>
              <w:rPr>
                <w:sz w:val="24"/>
              </w:rPr>
              <w:t xml:space="preserve">ая </w:t>
            </w:r>
            <w:r>
              <w:rPr>
                <w:sz w:val="24"/>
              </w:rPr>
              <w:t>услуг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>
              <w:rPr>
                <w:sz w:val="24"/>
              </w:rPr>
              <w:t xml:space="preserve">Предоставление земельного участка, находящегося в муниципальной собственности, </w:t>
            </w:r>
            <w:r>
              <w:rPr>
                <w:sz w:val="24"/>
              </w:rPr>
              <w:t>или государственная собственность на который не разграничена, на торгах</w:t>
            </w:r>
            <w:r>
              <w:rPr>
                <w:sz w:val="24"/>
              </w:rPr>
              <w:t xml:space="preserve">» </w:t>
            </w:r>
            <w:r>
              <w:rPr>
                <w:sz w:val="24"/>
              </w:rPr>
              <w:t xml:space="preserve">предполагает следующие </w:t>
            </w:r>
            <w:r>
              <w:rPr>
                <w:sz w:val="24"/>
              </w:rPr>
              <w:t>процедуры:</w:t>
            </w:r>
            <w:r>
              <w:rPr>
                <w:sz w:val="24"/>
              </w:rPr>
              <w:t xml:space="preserve"> административный регламент включает в себя прием </w:t>
            </w:r>
            <w:r>
              <w:rPr>
                <w:sz w:val="24"/>
              </w:rPr>
              <w:t xml:space="preserve">                   </w:t>
            </w:r>
            <w:r>
              <w:rPr>
                <w:sz w:val="24"/>
              </w:rPr>
              <w:t>и регистрацию заявлений, рассмотрение, подготовка и выдача результата услуги, контроль за соблюдением установленных сроков и процедур.</w:t>
            </w:r>
          </w:p>
        </w:tc>
        <w:tc>
          <w:tcPr>
            <w:tcW w:type="dxa" w:w="2450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 xml:space="preserve">Предполагается, что объем  трудовых затрат не изменится, так как реализация функции (обязанности, полномочия) предполагается в </w:t>
            </w:r>
            <w:r>
              <w:rPr>
                <w:sz w:val="24"/>
              </w:rPr>
              <w:t>пределах штатной численности сотрудников.</w:t>
            </w:r>
          </w:p>
        </w:tc>
        <w:tc>
          <w:tcPr>
            <w:tcW w:type="dxa" w:w="1661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Отсутствует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9B000000">
            <w:pPr>
              <w:widowControl w:val="0"/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9C000000">
            <w:pPr>
              <w:widowControl w:val="0"/>
              <w:ind/>
              <w:jc w:val="both"/>
            </w:pPr>
            <w:bookmarkStart w:id="8" w:name="sub_10006"/>
            <w:r>
              <w:t xml:space="preserve">6. Оценка дополнительных расходов (доходов) местного бюджета (бюджета муниципального образования </w:t>
            </w:r>
            <w:r>
              <w:t>Северский</w:t>
            </w:r>
            <w:r>
              <w:t xml:space="preserve"> </w:t>
            </w:r>
            <w:r>
              <w:t xml:space="preserve">муниципальный </w:t>
            </w:r>
            <w:r>
              <w:t>район</w:t>
            </w:r>
            <w:r>
              <w:t xml:space="preserve"> Краснодарского края</w:t>
            </w:r>
            <w:r>
              <w:t>), связанных с введением предлагаемого правового регулирования:</w:t>
            </w:r>
            <w:bookmarkEnd w:id="8"/>
          </w:p>
          <w:p w14:paraId="9D000000">
            <w:pPr>
              <w:widowControl w:val="0"/>
              <w:ind/>
              <w:jc w:val="both"/>
            </w:pP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Дополнительные расходы районного бюджета (бюджета муниципального образования Северский </w:t>
            </w:r>
            <w:r>
              <w:rPr>
                <w:rFonts w:ascii="Times New Roman" w:hAnsi="Times New Roman"/>
                <w:sz w:val="28"/>
              </w:rPr>
              <w:t xml:space="preserve">муниципальный </w:t>
            </w:r>
            <w:r>
              <w:rPr>
                <w:rFonts w:ascii="Times New Roman" w:hAnsi="Times New Roman"/>
                <w:sz w:val="28"/>
              </w:rPr>
              <w:t>район</w:t>
            </w:r>
            <w:r>
              <w:rPr>
                <w:rFonts w:ascii="Times New Roman" w:hAnsi="Times New Roman"/>
                <w:sz w:val="28"/>
              </w:rPr>
              <w:t xml:space="preserve"> Краснодарского края</w:t>
            </w:r>
            <w:r>
              <w:rPr>
                <w:rFonts w:ascii="Times New Roman" w:hAnsi="Times New Roman"/>
                <w:sz w:val="28"/>
              </w:rPr>
              <w:t>), связанные с введением предлагаемого правового регулирования отсутствуют</w:t>
            </w:r>
            <w:r>
              <w:rPr>
                <w:rFonts w:ascii="Times New Roman" w:hAnsi="Times New Roman"/>
                <w:sz w:val="28"/>
              </w:rPr>
              <w:t>.</w:t>
            </w:r>
          </w:p>
          <w:p w14:paraId="9E000000">
            <w:pPr>
              <w:widowControl w:val="0"/>
              <w:ind/>
              <w:jc w:val="both"/>
            </w:pPr>
            <w:r>
              <w:rPr>
                <w:rFonts w:ascii="Times New Roman" w:hAnsi="Times New Roman"/>
                <w:sz w:val="28"/>
              </w:rPr>
              <w:t xml:space="preserve">Дополнительные доходы районного бюджета (бюджета муниципального образования Северский </w:t>
            </w:r>
            <w:r>
              <w:rPr>
                <w:rFonts w:ascii="Times New Roman" w:hAnsi="Times New Roman"/>
                <w:sz w:val="28"/>
              </w:rPr>
              <w:t xml:space="preserve">муниципальный </w:t>
            </w:r>
            <w:r>
              <w:rPr>
                <w:rFonts w:ascii="Times New Roman" w:hAnsi="Times New Roman"/>
                <w:sz w:val="28"/>
              </w:rPr>
              <w:t>район</w:t>
            </w:r>
            <w:r>
              <w:rPr>
                <w:rFonts w:ascii="Times New Roman" w:hAnsi="Times New Roman"/>
                <w:sz w:val="28"/>
              </w:rPr>
              <w:t xml:space="preserve"> Краснодарского края</w:t>
            </w:r>
            <w:r>
              <w:rPr>
                <w:rFonts w:ascii="Times New Roman" w:hAnsi="Times New Roman"/>
                <w:sz w:val="28"/>
              </w:rPr>
              <w:t>), связанные с введением предлагаемого правового регулирования</w:t>
            </w:r>
            <w:r>
              <w:rPr>
                <w:rFonts w:ascii="Times New Roman" w:hAnsi="Times New Roman"/>
                <w:sz w:val="28"/>
              </w:rPr>
              <w:t xml:space="preserve">, </w:t>
            </w:r>
            <w:r>
              <w:rPr>
                <w:rFonts w:ascii="Times New Roman" w:hAnsi="Times New Roman"/>
                <w:sz w:val="28"/>
              </w:rPr>
              <w:t>отсутствуют</w:t>
            </w:r>
            <w:r>
              <w:rPr>
                <w:rFonts w:ascii="Times New Roman" w:hAnsi="Times New Roman"/>
                <w:sz w:val="28"/>
              </w:rPr>
              <w:t>.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9F000000">
            <w:pPr>
              <w:widowControl w:val="0"/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A0000000">
            <w:pPr>
              <w:widowControl w:val="0"/>
              <w:ind/>
              <w:jc w:val="both"/>
            </w:pPr>
            <w:r>
              <w:t xml:space="preserve">6.1. Другие сведения о дополнительных расходах (доходах) местного бюджета (бюджета муниципального образования </w:t>
            </w:r>
            <w:r>
              <w:t>Северский муниципальный район Краснодарского края</w:t>
            </w:r>
            <w:r>
              <w:t xml:space="preserve">), возникающих в связи с введением предлагаемого </w:t>
            </w:r>
            <w:r>
              <w:t>правового регулирования: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A1000000">
            <w:pPr>
              <w:widowControl w:val="0"/>
              <w:ind w:firstLine="454"/>
              <w:jc w:val="both"/>
            </w:pPr>
            <w:r>
              <w:t>Отсутствуют</w:t>
            </w:r>
            <w:r>
              <w:t>.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A2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3080"/>
            <w:gridSpan w:val="9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A3000000">
            <w:pPr>
              <w:widowControl w:val="0"/>
              <w:ind/>
              <w:jc w:val="both"/>
            </w:pPr>
          </w:p>
          <w:p w14:paraId="A4000000">
            <w:pPr>
              <w:widowControl w:val="0"/>
              <w:ind/>
              <w:jc w:val="both"/>
            </w:pPr>
            <w:r>
              <w:t>6.2. Источники данных:</w:t>
            </w:r>
          </w:p>
        </w:tc>
        <w:tc>
          <w:tcPr>
            <w:tcW w:type="dxa" w:w="6701"/>
            <w:gridSpan w:val="16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A5000000">
            <w:pPr>
              <w:widowControl w:val="0"/>
              <w:ind/>
              <w:jc w:val="both"/>
            </w:pPr>
          </w:p>
          <w:p w14:paraId="A6000000">
            <w:pPr>
              <w:widowControl w:val="0"/>
              <w:ind/>
              <w:jc w:val="both"/>
            </w:pPr>
            <w:r>
              <w:t>Отсутствуют</w:t>
            </w:r>
            <w:r>
              <w:t>.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A7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A8000000">
            <w:pPr>
              <w:widowControl w:val="0"/>
              <w:ind/>
              <w:jc w:val="both"/>
            </w:pPr>
          </w:p>
          <w:p w14:paraId="A9000000">
            <w:pPr>
              <w:widowControl w:val="0"/>
              <w:ind/>
              <w:jc w:val="both"/>
            </w:pPr>
            <w:r>
              <w:t>7.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AA000000">
            <w:pPr>
              <w:widowControl w:val="0"/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2835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 xml:space="preserve">7.1. Группы потенциальных адресатов предлагаемого правового регулирования (в соответствии с </w:t>
            </w:r>
            <w:r>
              <w:rPr>
                <w:color w:val="000000"/>
                <w:sz w:val="24"/>
              </w:rPr>
              <w:fldChar w:fldCharType="begin"/>
            </w:r>
            <w:r>
              <w:rPr>
                <w:color w:val="000000"/>
                <w:sz w:val="24"/>
              </w:rPr>
              <w:instrText>HYPERLINK \l "sub_100041"</w:instrText>
            </w:r>
            <w:r>
              <w:rPr>
                <w:color w:val="000000"/>
                <w:sz w:val="24"/>
              </w:rPr>
              <w:fldChar w:fldCharType="separate"/>
            </w:r>
            <w:r>
              <w:rPr>
                <w:color w:val="000000"/>
                <w:sz w:val="24"/>
              </w:rPr>
              <w:t>подпунктом 4.1 пункта 4</w:t>
            </w:r>
            <w:r>
              <w:rPr>
                <w:color w:val="000000"/>
                <w:sz w:val="24"/>
              </w:rPr>
              <w:fldChar w:fldCharType="end"/>
            </w:r>
            <w:r>
              <w:t xml:space="preserve"> </w:t>
            </w:r>
            <w:r>
              <w:rPr>
                <w:sz w:val="24"/>
              </w:rPr>
              <w:t>настоящего сводного отчёта)</w:t>
            </w:r>
          </w:p>
        </w:tc>
        <w:tc>
          <w:tcPr>
            <w:tcW w:type="dxa" w:w="3969"/>
            <w:gridSpan w:val="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7.2. Новые обязательные требование, обязанности и ограничения, изменения существующих обязательных требований, обязанностей и ограничений, вводимые предлагаемым правовым регулированием (с указанием соответствующих положений проекта муниципального нормативного правового акта)</w:t>
            </w:r>
          </w:p>
        </w:tc>
        <w:tc>
          <w:tcPr>
            <w:tcW w:type="dxa" w:w="2016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type="dxa" w:w="9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7.4. Количественная оценка, тыс. рублей</w:t>
            </w:r>
          </w:p>
        </w:tc>
      </w:tr>
      <w:tr>
        <w:trPr>
          <w:trHeight w:hRule="atLeast" w:val="1380"/>
        </w:trPr>
        <w:tc>
          <w:tcPr>
            <w:tcW w:type="dxa" w:w="2835"/>
            <w:gridSpan w:val="8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 w14:paraId="AF000000">
            <w:pPr>
              <w:widowControl w:val="0"/>
              <w:ind/>
              <w:rPr>
                <w:sz w:val="24"/>
                <w:highlight w:val="red"/>
              </w:rPr>
            </w:pPr>
            <w:r>
              <w:rPr>
                <w:sz w:val="24"/>
              </w:rPr>
              <w:t>Г</w:t>
            </w:r>
            <w:r>
              <w:rPr>
                <w:sz w:val="24"/>
              </w:rPr>
              <w:t>раждане и юридические лица, индивидуальные предприниматели</w:t>
            </w:r>
          </w:p>
        </w:tc>
        <w:tc>
          <w:tcPr>
            <w:tcW w:type="dxa" w:w="3969"/>
            <w:gridSpan w:val="11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 w14:paraId="B0000000">
            <w:pPr>
              <w:widowControl w:val="0"/>
              <w:ind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Основанием для предоставления муниципальной услуги является подача заявителем </w:t>
            </w:r>
            <w:r>
              <w:rPr>
                <w:rFonts w:ascii="Times New Roman" w:hAnsi="Times New Roman"/>
                <w:sz w:val="24"/>
              </w:rPr>
              <w:t xml:space="preserve">заявления </w:t>
            </w:r>
            <w:r>
              <w:rPr>
                <w:rFonts w:ascii="Times New Roman" w:hAnsi="Times New Roman"/>
                <w:sz w:val="24"/>
              </w:rPr>
              <w:t>о пред</w:t>
            </w:r>
            <w:r>
              <w:rPr>
                <w:rFonts w:ascii="Times New Roman" w:hAnsi="Times New Roman"/>
                <w:sz w:val="24"/>
              </w:rPr>
              <w:t>оставлении муниципальной услуги</w:t>
            </w:r>
          </w:p>
        </w:tc>
        <w:tc>
          <w:tcPr>
            <w:tcW w:type="dxa" w:w="2016"/>
            <w:gridSpan w:val="5"/>
            <w:tcBorders>
              <w:top w:color="000000" w:sz="4" w:val="single"/>
              <w:left w:color="000000" w:sz="4" w:val="single"/>
              <w:right w:color="000000" w:sz="4" w:val="single"/>
            </w:tcBorders>
            <w:vAlign w:val="center"/>
          </w:tcPr>
          <w:p w14:paraId="B1000000">
            <w:pPr>
              <w:pStyle w:val="Style_4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Расходы на предоставление зая</w:t>
            </w:r>
            <w:r>
              <w:rPr>
                <w:rFonts w:ascii="Times New Roman" w:hAnsi="Times New Roman"/>
                <w:sz w:val="24"/>
              </w:rPr>
              <w:t>вления и прилагаемых документов</w:t>
            </w:r>
          </w:p>
        </w:tc>
        <w:tc>
          <w:tcPr>
            <w:tcW w:type="dxa" w:w="961"/>
            <w:tcBorders>
              <w:top w:color="000000" w:sz="4" w:val="single"/>
              <w:left w:color="000000" w:sz="4" w:val="single"/>
              <w:right w:color="000000" w:sz="4" w:val="single"/>
            </w:tcBorders>
            <w:vAlign w:val="center"/>
          </w:tcPr>
          <w:p w14:paraId="B2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1 609,08 руб. в расчете на 1 заявителя или 350 779,44 руб. на 218 заявителей. </w:t>
            </w:r>
          </w:p>
        </w:tc>
      </w:tr>
      <w:tr>
        <w:tc>
          <w:tcPr>
            <w:tcW w:type="dxa" w:w="9781"/>
            <w:gridSpan w:val="25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tbl>
            <w:tblPr>
              <w:tblW w:type="auto" w:w="0"/>
              <w:tblInd w:type="dxa" w:w="108"/>
              <w:tblBorders>
                <w:top w:color="000000" w:sz="4" w:val="single"/>
                <w:left w:color="000000" w:sz="4" w:val="single"/>
                <w:bottom w:color="000000" w:sz="4" w:val="single"/>
                <w:right w:color="000000" w:sz="4" w:val="single"/>
              </w:tblBorders>
              <w:tblLayout w:type="fixed"/>
              <w:tblCellMar>
                <w:top w:type="dxa" w:w="0"/>
                <w:left w:type="dxa" w:w="108"/>
                <w:bottom w:type="dxa" w:w="0"/>
                <w:right w:type="dxa" w:w="108"/>
              </w:tblCellMar>
            </w:tblPr>
            <w:tblGrid>
              <w:gridCol w:w="840"/>
              <w:gridCol w:w="280"/>
              <w:gridCol w:w="560"/>
              <w:gridCol w:w="305"/>
              <w:gridCol w:w="115"/>
              <w:gridCol w:w="200"/>
              <w:gridCol w:w="200"/>
              <w:gridCol w:w="200"/>
              <w:gridCol w:w="200"/>
              <w:gridCol w:w="245"/>
              <w:gridCol w:w="200"/>
              <w:gridCol w:w="140"/>
              <w:gridCol w:w="44"/>
              <w:gridCol w:w="1356"/>
              <w:gridCol w:w="140"/>
              <w:gridCol w:w="200"/>
              <w:gridCol w:w="357"/>
              <w:gridCol w:w="352"/>
              <w:gridCol w:w="908"/>
              <w:gridCol w:w="200"/>
              <w:gridCol w:w="200"/>
              <w:gridCol w:w="284"/>
              <w:gridCol w:w="43"/>
              <w:gridCol w:w="268"/>
              <w:gridCol w:w="560"/>
              <w:gridCol w:w="200"/>
              <w:gridCol w:w="1041"/>
            </w:tblGrid>
            <w:tr>
              <w:tc>
                <w:tcPr>
                  <w:tcW w:type="dxa" w:w="9638"/>
                  <w:gridSpan w:val="27"/>
                  <w:tcBorders>
                    <w:top w:color="000000" w:sz="4" w:val="single"/>
                    <w:left w:sz="4" w:val="nil"/>
                    <w:bottom w:sz="4" w:val="nil"/>
                    <w:right w:sz="4" w:val="nil"/>
                  </w:tcBorders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</w:tcPr>
                <w:p w14:paraId="B3000000">
                  <w:pPr>
                    <w:widowControl w:val="0"/>
                    <w:ind/>
                    <w:jc w:val="both"/>
                    <w:rPr>
                      <w:sz w:val="24"/>
                    </w:rPr>
                  </w:pPr>
                </w:p>
                <w:p w14:paraId="B4000000">
                  <w:pPr>
                    <w:widowControl w:val="1"/>
                    <w:spacing w:after="0" w:line="240" w:lineRule="auto"/>
                    <w:ind/>
                    <w:contextualSpacing w:val="1"/>
                    <w:jc w:val="both"/>
                    <w:rPr>
                      <w:rFonts w:ascii="Times New Roman" w:hAnsi="Times New Roman"/>
                      <w:color w:themeColor="text1" w:val="000000"/>
                      <w:sz w:val="28"/>
                    </w:rPr>
                  </w:pPr>
                  <w:r>
                    <w:rPr>
                      <w:rFonts w:ascii="Times New Roman" w:hAnsi="Times New Roman"/>
                      <w:color w:themeColor="text1" w:val="000000"/>
                      <w:sz w:val="28"/>
                    </w:rPr>
                    <w:t xml:space="preserve">Согласно </w:t>
                  </w:r>
                  <w:r>
                    <w:rPr>
                      <w:rFonts w:ascii="Times New Roman" w:hAnsi="Times New Roman"/>
                      <w:color w:themeColor="text1" w:val="000000"/>
                      <w:sz w:val="28"/>
                    </w:rPr>
                    <w:t>Методике оценки стандартных издержек субъектов</w:t>
                  </w:r>
                  <w:r>
                    <w:rPr>
                      <w:rFonts w:ascii="Times New Roman" w:hAnsi="Times New Roman"/>
                      <w:color w:themeColor="text1" w:val="000000"/>
                      <w:sz w:val="28"/>
                    </w:rPr>
                    <w:t xml:space="preserve"> предпринимательской и иной экономической деятельности, возникающих в связи с использованием требований регулирования, утвержденной приказом Министерства экономического развития Российской Федерации                                            от 22 сентября 2015 г. № 669, информационные издержки регулирования включают в себя затраты на подготовку и предоставление информации в соответствии с требованиями проекта. Расчет суммы затрат произведен с использованием калькулятора расчета стандартн</w:t>
                  </w:r>
                  <w:r>
                    <w:rPr>
                      <w:rFonts w:ascii="Times New Roman" w:hAnsi="Times New Roman"/>
                      <w:color w:themeColor="text1" w:val="000000"/>
                      <w:sz w:val="28"/>
                    </w:rPr>
                    <w:t>ых издержек (regulation.gov.ru).</w:t>
                  </w:r>
                </w:p>
                <w:p w14:paraId="B5000000">
                  <w:pPr>
                    <w:widowControl w:val="1"/>
                    <w:spacing w:after="0" w:line="240" w:lineRule="auto"/>
                    <w:ind/>
                    <w:contextualSpacing w:val="1"/>
                    <w:jc w:val="both"/>
                    <w:rPr>
                      <w:rFonts w:ascii="Times New Roman" w:hAnsi="Times New Roman"/>
                      <w:color w:themeColor="text1" w:val="000000"/>
                      <w:sz w:val="28"/>
                    </w:rPr>
                  </w:pPr>
                  <w:r>
                    <w:rPr>
                      <w:rFonts w:ascii="Times New Roman" w:hAnsi="Times New Roman"/>
                      <w:color w:themeColor="text1" w:val="000000"/>
                      <w:sz w:val="28"/>
                    </w:rPr>
                    <w:t>Расчет издержек на подготовку и представление запроса и документов:</w:t>
                  </w:r>
                </w:p>
                <w:p w14:paraId="B6000000">
                  <w:pPr>
                    <w:widowControl w:val="1"/>
                    <w:spacing w:after="0" w:line="240" w:lineRule="auto"/>
                    <w:ind/>
                    <w:contextualSpacing w:val="1"/>
                    <w:jc w:val="both"/>
                    <w:rPr>
                      <w:rFonts w:ascii="Times New Roman" w:hAnsi="Times New Roman"/>
                      <w:color w:themeColor="text1" w:val="000000"/>
                      <w:sz w:val="28"/>
                    </w:rPr>
                  </w:pPr>
                  <w:r>
                    <w:rPr>
                      <w:rFonts w:ascii="Times New Roman" w:hAnsi="Times New Roman"/>
                      <w:color w:themeColor="text1" w:val="000000"/>
                      <w:sz w:val="28"/>
                    </w:rPr>
                    <w:t>раздел требования: информационное;</w:t>
                  </w:r>
                </w:p>
                <w:p w14:paraId="B7000000">
                  <w:pPr>
                    <w:widowControl w:val="1"/>
                    <w:spacing w:after="0" w:line="240" w:lineRule="auto"/>
                    <w:ind/>
                    <w:contextualSpacing w:val="1"/>
                    <w:jc w:val="both"/>
                    <w:rPr>
                      <w:rFonts w:ascii="Times New Roman" w:hAnsi="Times New Roman"/>
                      <w:color w:themeColor="text1" w:val="000000"/>
                      <w:sz w:val="28"/>
                    </w:rPr>
                  </w:pPr>
                  <w:r>
                    <w:rPr>
                      <w:rFonts w:ascii="Times New Roman" w:hAnsi="Times New Roman"/>
                      <w:color w:themeColor="text1" w:val="000000"/>
                      <w:sz w:val="28"/>
                    </w:rPr>
                    <w:t>информационный элемент: подача заявления на предоставление муниципальной услуги;</w:t>
                  </w:r>
                </w:p>
                <w:p w14:paraId="B8000000">
                  <w:pPr>
                    <w:widowControl w:val="1"/>
                    <w:spacing w:after="0" w:line="240" w:lineRule="auto"/>
                    <w:ind/>
                    <w:contextualSpacing w:val="1"/>
                    <w:jc w:val="both"/>
                    <w:rPr>
                      <w:rFonts w:ascii="Times New Roman" w:hAnsi="Times New Roman"/>
                      <w:color w:themeColor="text1" w:val="000000"/>
                      <w:sz w:val="28"/>
                    </w:rPr>
                  </w:pPr>
                  <w:r>
                    <w:rPr>
                      <w:rFonts w:ascii="Times New Roman" w:hAnsi="Times New Roman"/>
                      <w:color w:themeColor="text1" w:val="000000"/>
                      <w:sz w:val="28"/>
                    </w:rPr>
                    <w:t>тип элемента: документы, составленные для передачи органам власти;</w:t>
                  </w:r>
                </w:p>
                <w:p w14:paraId="B9000000">
                  <w:pPr>
                    <w:widowControl w:val="1"/>
                    <w:spacing w:after="0" w:line="240" w:lineRule="auto"/>
                    <w:ind/>
                    <w:contextualSpacing w:val="1"/>
                    <w:jc w:val="both"/>
                    <w:rPr>
                      <w:rFonts w:ascii="Times New Roman" w:hAnsi="Times New Roman"/>
                      <w:color w:themeColor="text1" w:val="000000"/>
                      <w:sz w:val="28"/>
                    </w:rPr>
                  </w:pPr>
                  <w:r>
                    <w:rPr>
                      <w:rFonts w:ascii="Times New Roman" w:hAnsi="Times New Roman"/>
                      <w:color w:themeColor="text1" w:val="000000"/>
                      <w:sz w:val="28"/>
                    </w:rPr>
                    <w:t>частота: 1 ед.</w:t>
                  </w:r>
                </w:p>
                <w:p w14:paraId="BA000000">
                  <w:pPr>
                    <w:widowControl w:val="1"/>
                    <w:spacing w:after="0" w:line="240" w:lineRule="auto"/>
                    <w:ind/>
                    <w:contextualSpacing w:val="1"/>
                    <w:jc w:val="both"/>
                    <w:rPr>
                      <w:rFonts w:ascii="Times New Roman" w:hAnsi="Times New Roman"/>
                      <w:color w:themeColor="text1" w:val="000000"/>
                      <w:sz w:val="28"/>
                    </w:rPr>
                  </w:pPr>
                  <w:r>
                    <w:rPr>
                      <w:rFonts w:ascii="Times New Roman" w:hAnsi="Times New Roman"/>
                      <w:color w:themeColor="text1" w:val="000000"/>
                      <w:sz w:val="28"/>
                    </w:rPr>
                    <w:t>Действия:</w:t>
                  </w:r>
                </w:p>
                <w:p w14:paraId="BB000000">
                  <w:pPr>
                    <w:widowControl w:val="1"/>
                    <w:spacing w:after="0" w:line="240" w:lineRule="auto"/>
                    <w:ind/>
                    <w:contextualSpacing w:val="1"/>
                    <w:jc w:val="both"/>
                    <w:rPr>
                      <w:rFonts w:ascii="Times New Roman" w:hAnsi="Times New Roman"/>
                      <w:color w:themeColor="text1" w:val="000000"/>
                      <w:sz w:val="28"/>
                    </w:rPr>
                  </w:pPr>
                  <w:r>
                    <w:rPr>
                      <w:rFonts w:ascii="Times New Roman" w:hAnsi="Times New Roman"/>
                      <w:color w:themeColor="text1" w:val="000000"/>
                      <w:sz w:val="28"/>
                    </w:rPr>
                    <w:t>написание  документа низкого уровня сложности  – 1 чел./часов;</w:t>
                  </w:r>
                </w:p>
                <w:p w14:paraId="BC000000">
                  <w:pPr>
                    <w:widowControl w:val="1"/>
                    <w:spacing w:after="0" w:line="240" w:lineRule="auto"/>
                    <w:ind/>
                    <w:contextualSpacing w:val="1"/>
                    <w:jc w:val="both"/>
                    <w:rPr>
                      <w:rFonts w:ascii="Times New Roman" w:hAnsi="Times New Roman"/>
                      <w:color w:themeColor="text1" w:val="000000"/>
                      <w:sz w:val="28"/>
                    </w:rPr>
                  </w:pPr>
                  <w:r>
                    <w:rPr>
                      <w:rFonts w:ascii="Times New Roman" w:hAnsi="Times New Roman"/>
                      <w:color w:themeColor="text1" w:val="000000"/>
                      <w:sz w:val="28"/>
                    </w:rPr>
                    <w:t>копирование документов – 1,00 чел./часов;</w:t>
                  </w:r>
                </w:p>
                <w:p w14:paraId="BD000000">
                  <w:pPr>
                    <w:widowControl w:val="1"/>
                    <w:spacing w:after="0" w:line="240" w:lineRule="auto"/>
                    <w:ind/>
                    <w:contextualSpacing w:val="1"/>
                    <w:jc w:val="both"/>
                    <w:rPr>
                      <w:rFonts w:ascii="Times New Roman" w:hAnsi="Times New Roman"/>
                      <w:color w:themeColor="text1" w:val="000000"/>
                      <w:sz w:val="28"/>
                    </w:rPr>
                  </w:pPr>
                  <w:r>
                    <w:rPr>
                      <w:rFonts w:ascii="Times New Roman" w:hAnsi="Times New Roman"/>
                      <w:color w:themeColor="text1" w:val="000000"/>
                      <w:sz w:val="28"/>
                    </w:rPr>
                    <w:t>Подача заявления – 1 чел./час.</w:t>
                  </w:r>
                </w:p>
                <w:p w14:paraId="BE000000">
                  <w:pPr>
                    <w:widowControl w:val="1"/>
                    <w:spacing w:after="0" w:line="240" w:lineRule="auto"/>
                    <w:ind/>
                    <w:contextualSpacing w:val="1"/>
                    <w:jc w:val="both"/>
                    <w:rPr>
                      <w:rFonts w:ascii="Times New Roman" w:hAnsi="Times New Roman"/>
                      <w:color w:themeColor="text1" w:val="000000"/>
                      <w:sz w:val="28"/>
                    </w:rPr>
                  </w:pPr>
                  <w:r>
                    <w:rPr>
                      <w:rFonts w:ascii="Times New Roman" w:hAnsi="Times New Roman"/>
                      <w:color w:themeColor="text1" w:val="000000"/>
                      <w:sz w:val="28"/>
                    </w:rPr>
                    <w:t>Затраты на расходные материалы и канцелярские товары – 100,00 руб.</w:t>
                  </w:r>
                </w:p>
                <w:p w14:paraId="BF000000">
                  <w:pPr>
                    <w:widowControl w:val="1"/>
                    <w:spacing w:after="0" w:line="240" w:lineRule="auto"/>
                    <w:ind/>
                    <w:contextualSpacing w:val="1"/>
                    <w:jc w:val="both"/>
                    <w:rPr>
                      <w:rFonts w:ascii="Times New Roman" w:hAnsi="Times New Roman"/>
                      <w:color w:themeColor="text1" w:val="000000"/>
                      <w:sz w:val="28"/>
                    </w:rPr>
                  </w:pPr>
                  <w:r>
                    <w:rPr>
                      <w:rFonts w:ascii="Times New Roman" w:hAnsi="Times New Roman"/>
                      <w:color w:themeColor="text1" w:val="000000"/>
                      <w:sz w:val="28"/>
                    </w:rPr>
                    <w:t>Среднемесячная заработная плата в муниципальном образовании Северсий муниципальный район Краснодарского края (2026 г.): 101 752 руб.</w:t>
                  </w:r>
                </w:p>
                <w:p w14:paraId="C0000000">
                  <w:pPr>
                    <w:widowControl w:val="1"/>
                    <w:spacing w:after="0" w:line="240" w:lineRule="auto"/>
                    <w:ind/>
                    <w:contextualSpacing w:val="1"/>
                    <w:jc w:val="both"/>
                    <w:rPr>
                      <w:rFonts w:ascii="Times New Roman" w:hAnsi="Times New Roman"/>
                      <w:color w:themeColor="text1" w:val="000000"/>
                      <w:sz w:val="28"/>
                    </w:rPr>
                  </w:pPr>
                  <w:r>
                    <w:rPr>
                      <w:rFonts w:ascii="Times New Roman" w:hAnsi="Times New Roman"/>
                      <w:color w:themeColor="text1" w:val="000000"/>
                      <w:sz w:val="28"/>
                    </w:rPr>
                    <w:t>Средняя стоимость часа работы: 618 руб.</w:t>
                  </w:r>
                </w:p>
                <w:p w14:paraId="C1000000">
                  <w:pPr>
                    <w:widowControl w:val="0"/>
                    <w:ind/>
                    <w:jc w:val="both"/>
                    <w:rPr>
                      <w:sz w:val="24"/>
                    </w:rPr>
                  </w:pPr>
                  <w:r>
                    <w:rPr>
                      <w:rFonts w:ascii="Times New Roman" w:hAnsi="Times New Roman"/>
                      <w:color w:themeColor="text1" w:val="000000"/>
                      <w:sz w:val="28"/>
                    </w:rPr>
                    <w:t xml:space="preserve">Стоимость требования: 1 609,08 руб. в расчете на 1 заявителя или 350 779,44 руб. на 218 заявителей. </w:t>
                  </w:r>
                </w:p>
              </w:tc>
            </w:tr>
          </w:tbl>
          <w:p w14:paraId="C2000000">
            <w:pPr>
              <w:widowControl w:val="0"/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C3000000">
            <w:pPr>
              <w:widowControl w:val="0"/>
              <w:ind/>
              <w:jc w:val="both"/>
            </w:pPr>
            <w:r>
              <w:t>7.5. Издержки и выгоды адресатов предлагаемого правового регулирования, не</w:t>
            </w:r>
          </w:p>
        </w:tc>
      </w:tr>
      <w:tr>
        <w:tc>
          <w:tcPr>
            <w:tcW w:type="dxa" w:w="5040"/>
            <w:gridSpan w:val="14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C4000000">
            <w:pPr>
              <w:widowControl w:val="0"/>
              <w:ind/>
              <w:jc w:val="both"/>
            </w:pPr>
            <w:r>
              <w:t>поддающиеся количественной оценке:</w:t>
            </w:r>
          </w:p>
        </w:tc>
        <w:tc>
          <w:tcPr>
            <w:tcW w:type="dxa" w:w="4741"/>
            <w:gridSpan w:val="11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/>
        </w:tc>
      </w:tr>
      <w:tr>
        <w:trPr>
          <w:trHeight w:hRule="atLeast" w:val="312"/>
        </w:trPr>
        <w:tc>
          <w:tcPr>
            <w:tcW w:type="dxa" w:w="9781"/>
            <w:gridSpan w:val="25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C5000000">
            <w:pPr>
              <w:widowControl w:val="1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Издержки адресатов предлагаемого правового регулирования, не поддающиеся количественной оценке, отсутствуют.</w:t>
            </w:r>
          </w:p>
          <w:p w14:paraId="C6000000">
            <w:pPr>
              <w:widowControl w:val="1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Выгодой адресатов предлагаемого правового регулирования, не поддающейся количественной оценке, является осуществление предпринимательской деятельности в соответствии с действующим законодательством.</w:t>
            </w:r>
          </w:p>
          <w:p w14:paraId="C7000000">
            <w:pPr>
              <w:widowControl w:val="0"/>
              <w:ind/>
              <w:jc w:val="both"/>
            </w:pP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C8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3360"/>
            <w:gridSpan w:val="1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C9000000">
            <w:pPr>
              <w:widowControl w:val="0"/>
              <w:ind/>
              <w:jc w:val="both"/>
            </w:pPr>
            <w:r>
              <w:t>7.6. Источники данных:</w:t>
            </w:r>
          </w:p>
        </w:tc>
        <w:tc>
          <w:tcPr>
            <w:tcW w:type="dxa" w:w="6421"/>
            <w:gridSpan w:val="15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CA000000">
            <w:pPr>
              <w:widowControl w:val="0"/>
              <w:ind/>
              <w:jc w:val="both"/>
            </w:pPr>
            <w:r>
              <w:rPr>
                <w:rFonts w:ascii="Times New Roman" w:hAnsi="Times New Roman"/>
                <w:sz w:val="28"/>
              </w:rPr>
              <w:t>предлагаемое правовое регулирование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CB000000">
            <w:pPr>
              <w:widowControl w:val="0"/>
              <w:ind/>
              <w:jc w:val="both"/>
              <w:rPr>
                <w:sz w:val="20"/>
              </w:rPr>
            </w:pP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CC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CD000000">
            <w:pPr>
              <w:widowControl w:val="0"/>
              <w:ind/>
              <w:jc w:val="both"/>
            </w:pPr>
            <w:r>
              <w:t>8. Оценка рисков неблагоприятных последствий применения предлагаемого правового регулирования: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CE000000">
            <w:pPr>
              <w:widowControl w:val="0"/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1985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F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8.1. Виды рисков</w:t>
            </w:r>
          </w:p>
        </w:tc>
        <w:tc>
          <w:tcPr>
            <w:tcW w:type="dxa" w:w="2915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8.2. Оценка вероятности наступления неблагоприятных последствий</w:t>
            </w:r>
          </w:p>
        </w:tc>
        <w:tc>
          <w:tcPr>
            <w:tcW w:type="dxa" w:w="182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8.3. Методы контроля рисков</w:t>
            </w:r>
          </w:p>
        </w:tc>
        <w:tc>
          <w:tcPr>
            <w:tcW w:type="dxa" w:w="306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2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8.4. Степень контроля рисков (полный/частичный/отсутствует)</w:t>
            </w:r>
          </w:p>
        </w:tc>
      </w:tr>
      <w:tr>
        <w:tc>
          <w:tcPr>
            <w:tcW w:type="dxa" w:w="1985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3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отсутствуют </w:t>
            </w:r>
          </w:p>
        </w:tc>
        <w:tc>
          <w:tcPr>
            <w:tcW w:type="dxa" w:w="2915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4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type="dxa" w:w="182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5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type="dxa" w:w="306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6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отсутствуют 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D7000000">
            <w:pPr>
              <w:widowControl w:val="0"/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3360"/>
            <w:gridSpan w:val="1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D8000000">
            <w:pPr>
              <w:widowControl w:val="0"/>
              <w:ind/>
              <w:jc w:val="both"/>
            </w:pPr>
            <w:r>
              <w:t>8.5. Источники данных:</w:t>
            </w:r>
          </w:p>
        </w:tc>
        <w:tc>
          <w:tcPr>
            <w:tcW w:type="dxa" w:w="6421"/>
            <w:gridSpan w:val="15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D9000000">
            <w:pPr>
              <w:pStyle w:val="Style_3"/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отсутствуют</w:t>
            </w:r>
          </w:p>
        </w:tc>
      </w:tr>
      <w:tr>
        <w:tc>
          <w:tcPr>
            <w:tcW w:type="dxa" w:w="3360"/>
            <w:gridSpan w:val="1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DA000000">
            <w:pPr>
              <w:widowControl w:val="0"/>
              <w:ind/>
              <w:jc w:val="both"/>
              <w:rPr>
                <w:sz w:val="20"/>
              </w:rPr>
            </w:pPr>
          </w:p>
        </w:tc>
        <w:tc>
          <w:tcPr>
            <w:tcW w:type="dxa" w:w="6421"/>
            <w:gridSpan w:val="1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DB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DC000000">
            <w:pPr>
              <w:widowControl w:val="0"/>
              <w:ind/>
              <w:jc w:val="both"/>
            </w:pPr>
          </w:p>
          <w:p w14:paraId="DD000000">
            <w:pPr>
              <w:widowControl w:val="0"/>
              <w:ind/>
              <w:jc w:val="both"/>
            </w:pPr>
            <w:r>
              <w:t>9. Сравнение возможных вариантов решения проблемы: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DE000000">
            <w:pPr>
              <w:widowControl w:val="0"/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5670"/>
            <w:gridSpan w:val="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Варианты решения проблемы</w:t>
            </w:r>
          </w:p>
        </w:tc>
        <w:tc>
          <w:tcPr>
            <w:tcW w:type="dxa" w:w="184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0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Вариант 1</w:t>
            </w:r>
          </w:p>
        </w:tc>
        <w:tc>
          <w:tcPr>
            <w:tcW w:type="dxa" w:w="2268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Вариант 2</w:t>
            </w:r>
          </w:p>
        </w:tc>
      </w:tr>
      <w:tr>
        <w:tc>
          <w:tcPr>
            <w:tcW w:type="dxa" w:w="5670"/>
            <w:gridSpan w:val="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2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9.1. Содержание варианта решения проблемы</w:t>
            </w:r>
          </w:p>
        </w:tc>
        <w:tc>
          <w:tcPr>
            <w:tcW w:type="dxa" w:w="184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3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z w:val="24"/>
              </w:rPr>
              <w:t>тверждение предлагаемого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z w:val="24"/>
              </w:rPr>
              <w:t>НПА</w:t>
            </w:r>
          </w:p>
        </w:tc>
        <w:tc>
          <w:tcPr>
            <w:tcW w:type="dxa" w:w="2268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4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Н</w:t>
            </w:r>
            <w:r>
              <w:rPr>
                <w:sz w:val="24"/>
              </w:rPr>
              <w:t>епринятие предлагаемого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z w:val="24"/>
              </w:rPr>
              <w:t>НПА</w:t>
            </w:r>
          </w:p>
        </w:tc>
      </w:tr>
      <w:tr>
        <w:tc>
          <w:tcPr>
            <w:tcW w:type="dxa" w:w="5670"/>
            <w:gridSpan w:val="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3 года)</w:t>
            </w:r>
          </w:p>
        </w:tc>
        <w:tc>
          <w:tcPr>
            <w:tcW w:type="dxa" w:w="184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Количество участников группы не </w:t>
            </w:r>
            <w:r>
              <w:rPr>
                <w:sz w:val="24"/>
              </w:rPr>
              <w:t>ограниченно</w:t>
            </w:r>
            <w:r>
              <w:rPr>
                <w:sz w:val="24"/>
              </w:rPr>
              <w:t xml:space="preserve">, т.к. услуга имеет заявительный характер. </w:t>
            </w:r>
            <w:r>
              <w:rPr>
                <w:rFonts w:ascii="Times New Roman" w:hAnsi="Times New Roman"/>
                <w:sz w:val="24"/>
              </w:rPr>
              <w:t>Вместе с тем, 2025 г.  за предоставлением муниципальной услуги обратились 218 заявителей</w:t>
            </w:r>
          </w:p>
        </w:tc>
        <w:tc>
          <w:tcPr>
            <w:tcW w:type="dxa" w:w="2268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Количество потенциальных участников останется без изменений</w:t>
            </w:r>
          </w:p>
        </w:tc>
      </w:tr>
      <w:tr>
        <w:tc>
          <w:tcPr>
            <w:tcW w:type="dxa" w:w="5670"/>
            <w:gridSpan w:val="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8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type="dxa" w:w="184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9000000">
            <w:r>
              <w:rPr>
                <w:rFonts w:ascii="Times New Roman" w:hAnsi="Times New Roman"/>
                <w:color w:themeColor="text1" w:val="000000"/>
                <w:sz w:val="24"/>
              </w:rPr>
              <w:t>1 609,08 руб. в расчете на 1 заявителя или 350 779,44 руб. на 218 заявителей</w:t>
            </w:r>
          </w:p>
        </w:tc>
        <w:tc>
          <w:tcPr>
            <w:tcW w:type="dxa" w:w="2268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A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не предполагается</w:t>
            </w:r>
          </w:p>
        </w:tc>
      </w:tr>
      <w:tr>
        <w:tc>
          <w:tcPr>
            <w:tcW w:type="dxa" w:w="5670"/>
            <w:gridSpan w:val="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B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9.4. Оценка расходов (доходов) местного бюджета (бюджета муниципального образования </w:t>
            </w:r>
            <w:r>
              <w:rPr>
                <w:sz w:val="24"/>
              </w:rPr>
              <w:t>Северского</w:t>
            </w:r>
            <w:r>
              <w:rPr>
                <w:sz w:val="24"/>
              </w:rPr>
              <w:t xml:space="preserve"> район), связанных с введением предлагаемого правового регулирования</w:t>
            </w:r>
          </w:p>
        </w:tc>
        <w:tc>
          <w:tcPr>
            <w:tcW w:type="dxa" w:w="184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C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не предполагается</w:t>
            </w:r>
          </w:p>
        </w:tc>
        <w:tc>
          <w:tcPr>
            <w:tcW w:type="dxa" w:w="2268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D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не предполагается</w:t>
            </w:r>
          </w:p>
        </w:tc>
      </w:tr>
      <w:tr>
        <w:tc>
          <w:tcPr>
            <w:tcW w:type="dxa" w:w="5670"/>
            <w:gridSpan w:val="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E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9.5. Оценка возможности достижения заявленных целей регулирования </w:t>
            </w:r>
            <w:r>
              <w:rPr>
                <w:color w:val="000000"/>
                <w:sz w:val="24"/>
              </w:rPr>
              <w:t>(</w:t>
            </w:r>
            <w:r>
              <w:rPr>
                <w:color w:val="000000"/>
                <w:sz w:val="24"/>
              </w:rPr>
              <w:fldChar w:fldCharType="begin"/>
            </w:r>
            <w:r>
              <w:rPr>
                <w:color w:val="000000"/>
                <w:sz w:val="24"/>
              </w:rPr>
              <w:instrText>HYPERLINK \l "sub_10003"</w:instrText>
            </w:r>
            <w:r>
              <w:rPr>
                <w:color w:val="000000"/>
                <w:sz w:val="24"/>
              </w:rPr>
              <w:fldChar w:fldCharType="separate"/>
            </w:r>
            <w:r>
              <w:rPr>
                <w:color w:val="000000"/>
                <w:sz w:val="24"/>
              </w:rPr>
              <w:t>пункт 3</w:t>
            </w:r>
            <w:r>
              <w:rPr>
                <w:color w:val="000000"/>
                <w:sz w:val="24"/>
              </w:rPr>
              <w:fldChar w:fldCharType="end"/>
            </w:r>
            <w:r>
              <w:rPr>
                <w:sz w:val="24"/>
              </w:rPr>
              <w:t xml:space="preserve"> настоящего сводного отчёта)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type="dxa" w:w="184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предполагаемые цели будут достигнуты</w:t>
            </w:r>
          </w:p>
        </w:tc>
        <w:tc>
          <w:tcPr>
            <w:tcW w:type="dxa" w:w="2268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цели не будут достигнуты</w:t>
            </w:r>
          </w:p>
        </w:tc>
      </w:tr>
      <w:tr>
        <w:tc>
          <w:tcPr>
            <w:tcW w:type="dxa" w:w="5670"/>
            <w:gridSpan w:val="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9.6. Оценка рисков неблагоприятных последствий</w:t>
            </w:r>
          </w:p>
        </w:tc>
        <w:tc>
          <w:tcPr>
            <w:tcW w:type="dxa" w:w="184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2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отсутствуют </w:t>
            </w:r>
          </w:p>
        </w:tc>
        <w:tc>
          <w:tcPr>
            <w:tcW w:type="dxa" w:w="2268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отсутствуют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F4000000">
            <w:pPr>
              <w:widowControl w:val="0"/>
              <w:ind/>
              <w:jc w:val="both"/>
              <w:rPr>
                <w:sz w:val="20"/>
              </w:rPr>
            </w:pP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F5000000">
            <w:pPr>
              <w:widowControl w:val="0"/>
              <w:ind/>
              <w:jc w:val="both"/>
            </w:pPr>
            <w:r>
              <w:t>9.7. Обоснование выбора предпочтительного варианта решения выявленной</w:t>
            </w:r>
            <w:r>
              <w:t xml:space="preserve"> проблемы:</w:t>
            </w:r>
          </w:p>
        </w:tc>
      </w:tr>
      <w:tr>
        <w:tc>
          <w:tcPr>
            <w:tcW w:type="dxa" w:w="709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F6000000">
            <w:pPr>
              <w:widowControl w:val="0"/>
              <w:ind/>
              <w:jc w:val="both"/>
            </w:pPr>
          </w:p>
        </w:tc>
        <w:tc>
          <w:tcPr>
            <w:tcW w:type="dxa" w:w="9072"/>
            <w:gridSpan w:val="24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F7000000">
            <w:pPr>
              <w:widowControl w:val="1"/>
              <w:ind w:firstLine="888"/>
              <w:jc w:val="both"/>
            </w:pPr>
            <w:r>
              <w:t>Выбор варианта решения выявленной проблемы обусловлен введением предлагаемого правового регулирования, предусматривающего достижение целей предлагаемого правового регулирования и отсутствие рисков неблагоприятных последствий.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F800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8680"/>
            <w:gridSpan w:val="23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F9000000">
            <w:pPr>
              <w:widowControl w:val="0"/>
              <w:ind/>
              <w:jc w:val="both"/>
            </w:pPr>
          </w:p>
          <w:p w14:paraId="FA000000">
            <w:pPr>
              <w:widowControl w:val="0"/>
              <w:ind/>
              <w:jc w:val="both"/>
            </w:pPr>
            <w:r>
              <w:t>9.8. Детальное описание предлагаемого варианта решения проблемы:</w:t>
            </w:r>
          </w:p>
        </w:tc>
        <w:tc>
          <w:tcPr>
            <w:tcW w:type="dxa" w:w="1101"/>
            <w:gridSpan w:val="2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FB000000">
            <w:pPr>
              <w:widowControl w:val="0"/>
              <w:ind/>
              <w:jc w:val="both"/>
            </w:pPr>
          </w:p>
          <w:p w14:paraId="FC000000">
            <w:pPr>
              <w:widowControl w:val="0"/>
              <w:ind/>
              <w:jc w:val="both"/>
            </w:pP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FD000000">
            <w:pPr>
              <w:widowControl w:val="0"/>
              <w:ind w:firstLine="709"/>
              <w:jc w:val="both"/>
            </w:pPr>
            <w:r>
              <w:t xml:space="preserve">Административный регламент предоставления муниципальной услуги </w:t>
            </w:r>
            <w:r>
              <w:t>«Предоставление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торгах»</w:t>
            </w:r>
            <w:r>
              <w:t xml:space="preserve"> </w:t>
            </w:r>
            <w:r>
              <w:t xml:space="preserve">разработан в целях повышения качества и доступности предоставления муниципальной услуги и </w:t>
            </w:r>
            <w:r>
              <w:t>определяет стандарты и последовательность выполнения административных процедур по предоставлению муниципальной услуги</w:t>
            </w:r>
            <w:r>
              <w:t>,</w:t>
            </w:r>
            <w:r>
              <w:t xml:space="preserve"> требования к порядку их выполнения, формы контроля за исполнением административного регламента</w:t>
            </w:r>
            <w:r>
              <w:t>.</w:t>
            </w:r>
          </w:p>
          <w:p w14:paraId="FE000000">
            <w:pPr>
              <w:widowControl w:val="0"/>
              <w:ind w:firstLine="709"/>
              <w:jc w:val="both"/>
            </w:pPr>
            <w:r>
              <w:t xml:space="preserve">В целях решения указанной проблемы, проектом МНПА утверждается административный регламент предоставления муниципальной услуги по </w:t>
            </w:r>
            <w:r>
              <w:t>п</w:t>
            </w:r>
            <w:r>
              <w:t>редоставлени</w:t>
            </w:r>
            <w:r>
              <w:t>ю</w:t>
            </w:r>
            <w:r>
              <w:t xml:space="preserve"> земельного участка, находящегося в муниципальной собственности, или государственная собственность на который не разграничена, на торгах</w:t>
            </w:r>
            <w:r>
              <w:t xml:space="preserve">, которым устанавливаются состав, последовательность и сроки выполнения административных процедур, требования к порядку подачи и рассмотрения заявлений, взаимодействие органов местного самоуправления с заявителями, порядок и контроль за предоставлением </w:t>
            </w:r>
            <w:r>
              <w:t>муниципальной услуги.</w:t>
            </w:r>
          </w:p>
          <w:p w14:paraId="FF000000">
            <w:pPr>
              <w:widowControl w:val="0"/>
              <w:ind/>
              <w:jc w:val="both"/>
              <w:rPr>
                <w:sz w:val="20"/>
              </w:rPr>
            </w:pP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001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1010000">
            <w:pPr>
              <w:widowControl w:val="0"/>
              <w:ind/>
              <w:jc w:val="both"/>
            </w:pPr>
          </w:p>
          <w:p w14:paraId="02010000">
            <w:pPr>
              <w:widowControl w:val="0"/>
              <w:ind/>
              <w:jc w:val="both"/>
            </w:pPr>
            <w:r>
              <w:t>10. Оценка необходимости установления переходного периода и (или) отсрочки вступления в силу муниципального нормативного правового акта либо необходимость распространения предлагаемого правового регулирования на ранее возникшие отношения:</w:t>
            </w:r>
            <w:r>
              <w:t xml:space="preserve"> </w:t>
            </w:r>
            <w:r>
              <w:rPr>
                <w:u w:val="single"/>
              </w:rPr>
              <w:t>не предусмотрена.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3010000">
            <w:pPr>
              <w:widowControl w:val="0"/>
              <w:ind/>
              <w:jc w:val="both"/>
            </w:pPr>
          </w:p>
          <w:p w14:paraId="04010000">
            <w:pPr>
              <w:widowControl w:val="0"/>
              <w:ind/>
              <w:jc w:val="both"/>
            </w:pPr>
            <w:r>
              <w:t>10.1. Предполагаемая дата вступления в силу муниципального нормативного</w:t>
            </w:r>
          </w:p>
        </w:tc>
      </w:tr>
      <w:tr>
        <w:tc>
          <w:tcPr>
            <w:tcW w:type="dxa" w:w="2520"/>
            <w:gridSpan w:val="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5010000">
            <w:pPr>
              <w:widowControl w:val="0"/>
              <w:ind/>
              <w:jc w:val="both"/>
            </w:pPr>
            <w:r>
              <w:t>правового акта:</w:t>
            </w:r>
          </w:p>
        </w:tc>
        <w:tc>
          <w:tcPr>
            <w:tcW w:type="dxa" w:w="7261"/>
            <w:gridSpan w:val="18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06010000">
            <w:pPr>
              <w:widowControl w:val="0"/>
              <w:ind/>
              <w:jc w:val="both"/>
            </w:pPr>
            <w:r>
              <w:t>4</w:t>
            </w:r>
            <w:r>
              <w:t xml:space="preserve"> квартал 2026 года.</w:t>
            </w:r>
          </w:p>
        </w:tc>
      </w:tr>
      <w:tr>
        <w:tc>
          <w:tcPr>
            <w:tcW w:type="dxa" w:w="2520"/>
            <w:gridSpan w:val="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7010000">
            <w:pPr>
              <w:widowControl w:val="0"/>
              <w:ind/>
              <w:jc w:val="both"/>
              <w:rPr>
                <w:sz w:val="20"/>
              </w:rPr>
            </w:pPr>
          </w:p>
        </w:tc>
        <w:tc>
          <w:tcPr>
            <w:tcW w:type="dxa" w:w="7261"/>
            <w:gridSpan w:val="1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8010000">
            <w:pPr>
              <w:widowControl w:val="0"/>
              <w:ind/>
              <w:jc w:val="center"/>
            </w:pPr>
            <w:r>
              <w:rPr>
                <w:sz w:val="24"/>
              </w:rPr>
              <w:t>(если положения вводятся в действие в разное время, указывается пункт проекта акта и дата введения)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9010000">
            <w:pPr>
              <w:widowControl w:val="0"/>
              <w:ind/>
              <w:jc w:val="both"/>
              <w:rPr>
                <w:u w:val="single"/>
              </w:rPr>
            </w:pPr>
            <w:r>
              <w:t xml:space="preserve">10.2. Необходимость установления переходного периода и (или) отсрочки введения предлагаемого правового регулирования: </w:t>
            </w:r>
            <w:r>
              <w:rPr>
                <w:u w:val="single"/>
              </w:rPr>
              <w:t>нет.</w:t>
            </w:r>
          </w:p>
          <w:p w14:paraId="0A010000">
            <w:pPr>
              <w:widowControl w:val="0"/>
              <w:ind/>
              <w:jc w:val="both"/>
            </w:pP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B010000">
            <w:pPr>
              <w:widowControl w:val="0"/>
              <w:ind/>
              <w:jc w:val="both"/>
            </w:pPr>
          </w:p>
          <w:p w14:paraId="0C010000">
            <w:pPr>
              <w:widowControl w:val="0"/>
              <w:ind/>
              <w:jc w:val="both"/>
            </w:pPr>
            <w:r>
              <w:t xml:space="preserve">10.3. Необходимость распространения предлагаемого правового регулирования на ранее возникшие отношения: </w:t>
            </w:r>
            <w:r>
              <w:rPr>
                <w:u w:val="single"/>
              </w:rPr>
              <w:t>нет</w:t>
            </w:r>
            <w:r>
              <w:t>.</w:t>
            </w:r>
          </w:p>
          <w:p w14:paraId="0D010000">
            <w:pPr>
              <w:widowControl w:val="0"/>
              <w:ind/>
              <w:jc w:val="both"/>
            </w:pPr>
          </w:p>
          <w:p w14:paraId="0E010000">
            <w:pPr>
              <w:widowControl w:val="0"/>
              <w:ind/>
              <w:jc w:val="both"/>
            </w:pP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0F010000">
            <w:pPr>
              <w:widowControl w:val="0"/>
              <w:ind/>
              <w:jc w:val="both"/>
            </w:pPr>
          </w:p>
          <w:p w14:paraId="10010000">
            <w:pPr>
              <w:widowControl w:val="0"/>
              <w:ind/>
              <w:jc w:val="both"/>
            </w:pPr>
            <w:r>
              <w:t xml:space="preserve">10.4. Обоснование необходимости установления переходного периода и (или) отсрочки вступления в силу муниципального нормативного правового акта либо необходимости распространения предлагаемого правового регулирования на ранее возникшие отношения: </w:t>
            </w:r>
            <w:r>
              <w:t>не требуется.</w:t>
            </w:r>
          </w:p>
        </w:tc>
      </w:tr>
      <w:tr>
        <w:tc>
          <w:tcPr>
            <w:tcW w:type="dxa" w:w="3080"/>
            <w:gridSpan w:val="9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11010000">
            <w:pPr>
              <w:widowControl w:val="0"/>
              <w:ind/>
              <w:jc w:val="both"/>
              <w:rPr>
                <w:sz w:val="20"/>
              </w:rPr>
            </w:pPr>
          </w:p>
        </w:tc>
        <w:tc>
          <w:tcPr>
            <w:tcW w:type="dxa" w:w="6701"/>
            <w:gridSpan w:val="16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12010000">
            <w:pPr>
              <w:widowControl w:val="0"/>
              <w:ind/>
              <w:jc w:val="center"/>
            </w:pPr>
            <w:r>
              <w:rPr>
                <w:sz w:val="24"/>
              </w:rPr>
              <w:t>(место для текстового описания)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3010000">
            <w:pPr>
              <w:widowControl w:val="0"/>
              <w:ind/>
              <w:jc w:val="both"/>
            </w:pP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4010000">
            <w:pPr>
              <w:widowControl w:val="0"/>
              <w:ind/>
              <w:jc w:val="both"/>
              <w:rPr>
                <w:sz w:val="20"/>
              </w:rPr>
            </w:pPr>
          </w:p>
        </w:tc>
      </w:tr>
      <w:tr>
        <w:tc>
          <w:tcPr>
            <w:tcW w:type="dxa" w:w="5812"/>
            <w:gridSpan w:val="1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5010000">
            <w:pPr>
              <w:widowControl w:val="0"/>
              <w:ind/>
            </w:pPr>
          </w:p>
          <w:p w14:paraId="16010000">
            <w:pPr>
              <w:widowControl w:val="0"/>
              <w:ind/>
            </w:pPr>
            <w:r>
              <w:t>Н</w:t>
            </w:r>
            <w:r>
              <w:t>ачальник</w:t>
            </w:r>
            <w:r>
              <w:t xml:space="preserve"> </w:t>
            </w:r>
            <w:r>
              <w:t>управления</w:t>
            </w:r>
            <w:r>
              <w:t xml:space="preserve"> имущественных отношений</w:t>
            </w:r>
            <w:r>
              <w:t xml:space="preserve"> </w:t>
            </w:r>
            <w:r>
              <w:t>администрации му</w:t>
            </w:r>
            <w:r>
              <w:t xml:space="preserve">ниципального образования </w:t>
            </w:r>
            <w:r>
              <w:t>Северский</w:t>
            </w:r>
            <w:r>
              <w:t xml:space="preserve"> </w:t>
            </w:r>
            <w:r>
              <w:t>муниципальный район</w:t>
            </w:r>
            <w:r>
              <w:t xml:space="preserve"> </w:t>
            </w:r>
            <w:r>
              <w:t xml:space="preserve">Краснодарского </w:t>
            </w:r>
            <w:r>
              <w:t>края</w:t>
            </w:r>
          </w:p>
        </w:tc>
        <w:tc>
          <w:tcPr>
            <w:tcW w:type="dxa" w:w="3969"/>
            <w:gridSpan w:val="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7010000">
            <w:pPr>
              <w:widowControl w:val="0"/>
              <w:ind/>
              <w:jc w:val="both"/>
            </w:pPr>
          </w:p>
          <w:p w14:paraId="18010000">
            <w:pPr>
              <w:widowControl w:val="0"/>
              <w:ind/>
              <w:jc w:val="both"/>
            </w:pPr>
          </w:p>
          <w:p w14:paraId="19010000">
            <w:pPr>
              <w:widowControl w:val="0"/>
              <w:ind/>
              <w:jc w:val="both"/>
            </w:pPr>
          </w:p>
          <w:p w14:paraId="1A010000">
            <w:pPr>
              <w:widowControl w:val="0"/>
              <w:ind/>
              <w:jc w:val="both"/>
            </w:pPr>
          </w:p>
          <w:p w14:paraId="1B010000">
            <w:pPr>
              <w:widowControl w:val="0"/>
              <w:ind/>
            </w:pPr>
            <w:r>
              <w:t xml:space="preserve">                               </w:t>
            </w:r>
            <w:r>
              <w:t>С.Н. Радьков</w:t>
            </w:r>
          </w:p>
        </w:tc>
      </w:tr>
      <w:tr>
        <w:tc>
          <w:tcPr>
            <w:tcW w:type="dxa" w:w="9781"/>
            <w:gridSpan w:val="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C010000">
            <w:pPr>
              <w:widowControl w:val="0"/>
              <w:ind/>
              <w:jc w:val="both"/>
            </w:pPr>
          </w:p>
        </w:tc>
      </w:tr>
    </w:tbl>
    <w:p w14:paraId="1D010000"/>
    <w:sectPr>
      <w:pgSz w:h="16838" w:orient="portrait" w:w="11906"/>
      <w:pgMar w:bottom="1134" w:footer="708" w:gutter="0" w:header="708" w:left="1701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)"/>
      <w:lvlJc w:val="left"/>
      <w:pPr>
        <w:widowControl w:val="1"/>
        <w:ind w:hanging="360" w:left="1648"/>
      </w:pPr>
      <w:rPr>
        <w:i w:val="0"/>
        <w:color w:val="000000"/>
      </w:rPr>
    </w:lvl>
    <w:lvl w:ilvl="1">
      <w:start w:val="1"/>
      <w:numFmt w:val="lowerLetter"/>
      <w:lvlText w:val="%2."/>
      <w:lvlJc w:val="left"/>
      <w:pPr>
        <w:widowControl w:val="1"/>
        <w:ind w:hanging="360" w:left="2368"/>
      </w:pPr>
    </w:lvl>
    <w:lvl w:ilvl="2">
      <w:start w:val="1"/>
      <w:numFmt w:val="lowerRoman"/>
      <w:lvlText w:val="%3."/>
      <w:lvlJc w:val="right"/>
      <w:pPr>
        <w:widowControl w:val="1"/>
        <w:ind w:hanging="180" w:left="3088"/>
      </w:pPr>
    </w:lvl>
    <w:lvl w:ilvl="3">
      <w:start w:val="1"/>
      <w:numFmt w:val="decimal"/>
      <w:lvlText w:val="%4."/>
      <w:lvlJc w:val="left"/>
      <w:pPr>
        <w:widowControl w:val="1"/>
        <w:ind w:hanging="360" w:left="3808"/>
      </w:pPr>
    </w:lvl>
    <w:lvl w:ilvl="4">
      <w:start w:val="1"/>
      <w:numFmt w:val="lowerLetter"/>
      <w:lvlText w:val="%5."/>
      <w:lvlJc w:val="left"/>
      <w:pPr>
        <w:widowControl w:val="1"/>
        <w:ind w:hanging="360" w:left="4528"/>
      </w:pPr>
    </w:lvl>
    <w:lvl w:ilvl="5">
      <w:start w:val="1"/>
      <w:numFmt w:val="lowerRoman"/>
      <w:lvlText w:val="%6."/>
      <w:lvlJc w:val="right"/>
      <w:pPr>
        <w:widowControl w:val="1"/>
        <w:ind w:hanging="180" w:left="5248"/>
      </w:pPr>
    </w:lvl>
    <w:lvl w:ilvl="6">
      <w:start w:val="1"/>
      <w:numFmt w:val="decimal"/>
      <w:lvlText w:val="%7."/>
      <w:lvlJc w:val="left"/>
      <w:pPr>
        <w:widowControl w:val="1"/>
        <w:ind w:hanging="360" w:left="5968"/>
      </w:pPr>
    </w:lvl>
    <w:lvl w:ilvl="7">
      <w:start w:val="1"/>
      <w:numFmt w:val="lowerLetter"/>
      <w:lvlText w:val="%8."/>
      <w:lvlJc w:val="left"/>
      <w:pPr>
        <w:widowControl w:val="1"/>
        <w:ind w:hanging="360" w:left="6688"/>
      </w:pPr>
    </w:lvl>
    <w:lvl w:ilvl="8">
      <w:start w:val="1"/>
      <w:numFmt w:val="lowerRoman"/>
      <w:lvlText w:val="%9."/>
      <w:lvlJc w:val="right"/>
      <w:pPr>
        <w:widowControl w:val="1"/>
        <w:ind w:hanging="180" w:left="7408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widowControl w:val="1"/>
      <w:spacing w:after="0" w:line="240" w:lineRule="auto"/>
      <w:ind/>
    </w:pPr>
    <w:rPr>
      <w:rFonts w:ascii="Times New Roman" w:hAnsi="Times New Roman"/>
      <w:sz w:val="28"/>
    </w:rPr>
  </w:style>
  <w:style w:default="1" w:styleId="Style_5_ch" w:type="character">
    <w:name w:val="Normal"/>
    <w:link w:val="Style_5"/>
    <w:rPr>
      <w:rFonts w:ascii="Times New Roman" w:hAnsi="Times New Roman"/>
      <w:sz w:val="28"/>
    </w:rPr>
  </w:style>
  <w:style w:styleId="Style_6" w:type="paragraph">
    <w:name w:val="toc 2"/>
    <w:next w:val="Style_5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5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5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3" w:type="paragraph">
    <w:name w:val="ConsPlusNonformat"/>
    <w:link w:val="Style_3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3_ch" w:type="character">
    <w:name w:val="ConsPlusNonformat"/>
    <w:link w:val="Style_3"/>
    <w:rPr>
      <w:rFonts w:ascii="Courier New" w:hAnsi="Courier New"/>
      <w:sz w:val="20"/>
    </w:rPr>
  </w:style>
  <w:style w:styleId="Style_10" w:type="paragraph">
    <w:name w:val="Endnote"/>
    <w:link w:val="Style_10_ch"/>
    <w:pPr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5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toc 3"/>
    <w:next w:val="Style_5"/>
    <w:link w:val="Style_1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heading 5"/>
    <w:next w:val="Style_5"/>
    <w:link w:val="Style_1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5"/>
    <w:link w:val="Style_14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2" w:type="paragraph">
    <w:name w:val="Hyperlink"/>
    <w:basedOn w:val="Style_15"/>
    <w:link w:val="Style_2_ch"/>
    <w:rPr>
      <w:color w:val="0000FF"/>
      <w:u w:val="single"/>
    </w:rPr>
  </w:style>
  <w:style w:styleId="Style_2_ch" w:type="character">
    <w:name w:val="Hyperlink"/>
    <w:basedOn w:val="Style_15_ch"/>
    <w:link w:val="Style_2"/>
    <w:rPr>
      <w:color w:val="0000FF"/>
      <w:u w:val="single"/>
    </w:rPr>
  </w:style>
  <w:style w:styleId="Style_16" w:type="paragraph">
    <w:name w:val="Footnote"/>
    <w:link w:val="Style_16_ch"/>
    <w:pPr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Основной текст (2)"/>
    <w:basedOn w:val="Style_5"/>
    <w:link w:val="Style_17_ch"/>
    <w:pPr>
      <w:widowControl w:val="0"/>
      <w:spacing w:after="120" w:line="0" w:lineRule="atLeast"/>
      <w:ind w:hanging="120"/>
      <w:jc w:val="center"/>
    </w:pPr>
  </w:style>
  <w:style w:styleId="Style_17_ch" w:type="character">
    <w:name w:val="Основной текст (2)"/>
    <w:basedOn w:val="Style_5_ch"/>
    <w:link w:val="Style_17"/>
  </w:style>
  <w:style w:styleId="Style_18" w:type="paragraph">
    <w:name w:val="toc 1"/>
    <w:next w:val="Style_5"/>
    <w:link w:val="Style_1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spacing w:line="240" w:lineRule="auto"/>
      <w:ind/>
      <w:jc w:val="both"/>
    </w:pPr>
    <w:rPr>
      <w:rFonts w:ascii="XO Thames" w:hAnsi="XO Thames"/>
      <w:sz w:val="28"/>
    </w:rPr>
  </w:style>
  <w:style w:styleId="Style_19_ch" w:type="character">
    <w:name w:val="Header and Footer"/>
    <w:link w:val="Style_19"/>
    <w:rPr>
      <w:rFonts w:ascii="XO Thames" w:hAnsi="XO Thames"/>
      <w:sz w:val="28"/>
    </w:rPr>
  </w:style>
  <w:style w:styleId="Style_4" w:type="paragraph">
    <w:name w:val="ConsPlusNormal"/>
    <w:link w:val="Style_4_ch"/>
    <w:pPr>
      <w:widowControl w:val="0"/>
      <w:spacing w:after="0" w:line="240" w:lineRule="auto"/>
      <w:ind/>
    </w:pPr>
    <w:rPr>
      <w:rFonts w:ascii="Calibri" w:hAnsi="Calibri"/>
    </w:rPr>
  </w:style>
  <w:style w:styleId="Style_4_ch" w:type="character">
    <w:name w:val="ConsPlusNormal"/>
    <w:link w:val="Style_4"/>
    <w:rPr>
      <w:rFonts w:ascii="Calibri" w:hAnsi="Calibri"/>
    </w:rPr>
  </w:style>
  <w:style w:styleId="Style_20" w:type="paragraph">
    <w:name w:val="toc 9"/>
    <w:next w:val="Style_5"/>
    <w:link w:val="Style_2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toc 8"/>
    <w:next w:val="Style_5"/>
    <w:link w:val="Style_2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22" w:type="paragraph">
    <w:name w:val="toc 5"/>
    <w:next w:val="Style_5"/>
    <w:link w:val="Style_2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Subtitle"/>
    <w:next w:val="Style_5"/>
    <w:link w:val="Style_2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4" w:type="paragraph">
    <w:name w:val="Title"/>
    <w:next w:val="Style_5"/>
    <w:link w:val="Style_2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4_ch" w:type="character">
    <w:name w:val="Title"/>
    <w:link w:val="Style_24"/>
    <w:rPr>
      <w:rFonts w:ascii="XO Thames" w:hAnsi="XO Thames"/>
      <w:b w:val="1"/>
      <w:caps w:val="1"/>
      <w:sz w:val="40"/>
    </w:rPr>
  </w:style>
  <w:style w:styleId="Style_25" w:type="paragraph">
    <w:name w:val="heading 4"/>
    <w:next w:val="Style_5"/>
    <w:link w:val="Style_2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26" w:type="paragraph">
    <w:name w:val="heading 2"/>
    <w:next w:val="Style_5"/>
    <w:link w:val="Style_26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6_ch" w:type="character">
    <w:name w:val="heading 2"/>
    <w:link w:val="Style_26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2026-09-24T14:24:08Z</dcterms:created>
  <dcterms:modified xsi:type="dcterms:W3CDTF">2026-09-25T12:06:13Z</dcterms:modified>
</cp:coreProperties>
</file>